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ind w:left="0" w:right="0" w:hanging="0"/>
        <w:jc w:val="left"/>
        <w:rPr>
          <w:bdr w:val="single" w:sz="2" w:space="1" w:color="000000"/>
          <w:shd w:fill="FFFFFF" w:val="clear"/>
        </w:rPr>
      </w:pPr>
      <w:bookmarkStart w:id="0" w:name="d700319d10q.htm"/>
      <w:bookmarkStart w:id="1" w:name="ksd700319d10q"/>
      <w:bookmarkEnd w:id="0"/>
      <w:bookmarkEnd w:id="1"/>
      <w:r>
        <w:rPr>
          <w:bdr w:val="single" w:sz="2" w:space="1" w:color="000000"/>
          <w:shd w:fill="FFFFFF" w:val="clear"/>
        </w:rPr>
        <w:t> </w:t>
      </w:r>
    </w:p>
    <w:p>
      <w:pPr>
        <w:pStyle w:val="TextBody"/>
        <w:bidi w:val="0"/>
        <w:spacing w:lineRule="atLeast" w:line="142" w:before="0" w:after="0"/>
        <w:ind w:left="0" w:right="0" w:hanging="0"/>
        <w:jc w:val="left"/>
        <w:rPr>
          <w:bdr w:val="single" w:sz="2" w:space="1" w:color="000000"/>
          <w:shd w:fill="FFFFFF" w:val="clear"/>
        </w:rPr>
      </w:pPr>
      <w:r>
        <w:rPr>
          <w:bdr w:val="single" w:sz="2" w:space="1" w:color="000000"/>
          <w:shd w:fill="FFFFFF" w:val="clear"/>
        </w:rPr>
        <w:t> </w:t>
      </w:r>
    </w:p>
    <w:p>
      <w:pPr>
        <w:pStyle w:val="TextBody"/>
        <w:bidi w:val="0"/>
        <w:spacing w:before="80" w:after="0"/>
        <w:ind w:left="0" w:right="0" w:hanging="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ind w:left="0" w:right="0" w:hanging="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ind w:left="0" w:right="0" w:hanging="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ind w:left="0" w:right="0" w:hanging="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ind w:left="0" w:right="0" w:hanging="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240" w:after="0"/>
        <w:jc w:val="center"/>
        <w:rPr>
          <w:rFonts w:ascii="Times New Roman" w:hAnsi="Times New Roman"/>
          <w:b/>
          <w:spacing w:val="0"/>
          <w:sz w:val="36"/>
          <w:shd w:fill="FFFFFF" w:val="clear"/>
        </w:rPr>
      </w:pPr>
      <w:r>
        <w:rPr>
          <w:rFonts w:ascii="Times New Roman" w:hAnsi="Times New Roman"/>
          <w:b/>
          <w:spacing w:val="0"/>
          <w:sz w:val="36"/>
          <w:shd w:fill="FFFFFF" w:val="clear"/>
        </w:rPr>
        <w:t>10-Q</w:t>
      </w:r>
    </w:p>
    <w:p>
      <w:pPr>
        <w:pStyle w:val="TextBody"/>
        <w:bidi w:val="0"/>
        <w:spacing w:before="0" w:after="0"/>
        <w:ind w:left="0" w:right="0" w:hanging="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For the quarterly period ended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June 30</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 2024 </w:t>
      </w:r>
    </w:p>
    <w:p>
      <w:pPr>
        <w:pStyle w:val="TextBody"/>
        <w:bidi w:val="0"/>
        <w:spacing w:before="0" w:after="0"/>
        <w:ind w:left="0" w:right="0" w:hanging="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For the transition period from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to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xml:space="preserve">      </w:t>
      </w:r>
    </w:p>
    <w:p>
      <w:pPr>
        <w:pStyle w:val="TextBody"/>
        <w:bidi w:val="0"/>
        <w:spacing w:before="24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Commission File No. 001-42130 </w:t>
      </w:r>
    </w:p>
    <w:p>
      <w:pPr>
        <w:pStyle w:val="TextBody"/>
        <w:bidi w:val="0"/>
        <w:spacing w:before="0" w:after="0"/>
        <w:ind w:left="0" w:right="0" w:hanging="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ind w:left="0" w:right="0" w:hanging="0"/>
        <w:jc w:val="center"/>
        <w:rPr>
          <w:rFonts w:ascii="Times New Roman" w:hAnsi="Times New Roman"/>
          <w:b/>
          <w:sz w:val="48"/>
          <w:shd w:fill="FFFFFF" w:val="clear"/>
        </w:rPr>
      </w:pPr>
      <w:r>
        <w:rPr>
          <w:rFonts w:ascii="Times New Roman" w:hAnsi="Times New Roman"/>
          <w:b/>
          <w:sz w:val="48"/>
          <w:shd w:fill="FFFFFF" w:val="clear"/>
        </w:rPr>
        <w:t xml:space="preserve">Tempus AI, Inc.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(Exact name of registrant as specified in its charter)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lineRule="atLeast" w:line="142" w:before="0" w:after="40"/>
        <w:ind w:left="0" w:right="0" w:hanging="0"/>
        <w:jc w:val="center"/>
        <w:rPr>
          <w:spacing w:val="0"/>
          <w:shd w:fill="FFFFFF" w:val="clear"/>
        </w:rPr>
      </w:pPr>
      <w:r>
        <w:rPr>
          <w:spacing w:val="0"/>
          <w:shd w:fill="FFFFFF" w:val="clear"/>
        </w:rPr>
        <w:t> </w:t>
      </w:r>
    </w:p>
    <w:p>
      <w:pPr>
        <w:pStyle w:val="TextBody"/>
        <w:bidi w:val="0"/>
        <w:spacing w:before="0" w:after="0"/>
        <w:ind w:left="0" w:right="0" w:hanging="0"/>
        <w:jc w:val="left"/>
        <w:rPr>
          <w:spacing w:val="0"/>
          <w:shd w:fill="FFFFFF" w:val="clear"/>
        </w:rPr>
      </w:pPr>
      <w:r>
        <w:rPr>
          <w:spacing w:val="0"/>
          <w:shd w:fill="FFFFFF" w:val="clea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47-4903308</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600 West Chicago Avenue, Suite 510 </w:t>
      </w:r>
    </w:p>
    <w:p>
      <w:pPr>
        <w:pStyle w:val="TextBody"/>
        <w:bidi w:val="0"/>
        <w:spacing w:before="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Chicago,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IL</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60654 </w:t>
      </w:r>
    </w:p>
    <w:p>
      <w:pPr>
        <w:pStyle w:val="TextBody"/>
        <w:bidi w:val="0"/>
        <w:spacing w:before="0" w:after="0"/>
        <w:ind w:left="0" w:right="0" w:hanging="0"/>
        <w:jc w:val="center"/>
        <w:rPr>
          <w:rFonts w:ascii="Times New Roman" w:hAnsi="Times New Roman"/>
          <w:b/>
          <w:sz w:val="16"/>
          <w:shd w:fill="FFFFFF" w:val="clear"/>
        </w:rPr>
      </w:pPr>
      <w:r>
        <w:rPr>
          <w:rFonts w:ascii="Times New Roman" w:hAnsi="Times New Roman"/>
          <w:b/>
          <w:sz w:val="16"/>
          <w:shd w:fill="FFFFFF" w:val="clear"/>
        </w:rPr>
        <w:t xml:space="preserve">(Address of Principal Executive Offices, Zip Code) </w:t>
      </w:r>
    </w:p>
    <w:p>
      <w:pPr>
        <w:pStyle w:val="TextBody"/>
        <w:bidi w:val="0"/>
        <w:spacing w:before="24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(800) 976-5448 </w:t>
      </w:r>
    </w:p>
    <w:p>
      <w:pPr>
        <w:pStyle w:val="TextBody"/>
        <w:bidi w:val="0"/>
        <w:spacing w:before="0" w:after="0"/>
        <w:ind w:left="0" w:right="0" w:hanging="0"/>
        <w:jc w:val="center"/>
        <w:rPr>
          <w:rFonts w:ascii="Times New Roman" w:hAnsi="Times New Roman"/>
          <w:b/>
          <w:sz w:val="16"/>
          <w:shd w:fill="FFFFFF" w:val="clear"/>
        </w:rPr>
      </w:pPr>
      <w:r>
        <w:rPr>
          <w:rFonts w:ascii="Times New Roman" w:hAnsi="Times New Roman"/>
          <w:b/>
          <w:sz w:val="16"/>
          <w:shd w:fill="FFFFFF" w:val="clear"/>
        </w:rPr>
        <w:t xml:space="preserve">(Registrant’s telephone number, including area code) </w:t>
      </w:r>
    </w:p>
    <w:p>
      <w:pPr>
        <w:pStyle w:val="TextBody"/>
        <w:bidi w:val="0"/>
        <w:spacing w:before="24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N/A </w:t>
      </w:r>
    </w:p>
    <w:p>
      <w:pPr>
        <w:pStyle w:val="TextBody"/>
        <w:bidi w:val="0"/>
        <w:spacing w:before="0" w:after="0"/>
        <w:ind w:left="0" w:right="0" w:hanging="0"/>
        <w:jc w:val="center"/>
        <w:rPr>
          <w:rFonts w:ascii="Times New Roman" w:hAnsi="Times New Roman"/>
          <w:b/>
          <w:sz w:val="16"/>
          <w:shd w:fill="FFFFFF" w:val="clear"/>
        </w:rPr>
      </w:pPr>
      <w:r>
        <w:rPr>
          <w:rFonts w:ascii="Times New Roman" w:hAnsi="Times New Roman"/>
          <w:b/>
          <w:sz w:val="16"/>
          <w:shd w:fill="FFFFFF" w:val="clear"/>
        </w:rPr>
        <w:t xml:space="preserve">(Former name, former address and former fiscal year, if changed since last report) </w:t>
      </w:r>
    </w:p>
    <w:p>
      <w:pPr>
        <w:pStyle w:val="TextBody"/>
        <w:bidi w:val="0"/>
        <w:spacing w:before="0" w:after="0"/>
        <w:ind w:left="0" w:right="0" w:hanging="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Securities registered pursuant to Section 12(b) of the Act: </w:t>
      </w:r>
    </w:p>
    <w:p>
      <w:pPr>
        <w:pStyle w:val="TextBody"/>
        <w:bidi w:val="0"/>
        <w:spacing w:before="0" w:after="0"/>
        <w:ind w:left="0" w:right="0" w:hanging="0"/>
        <w:jc w:val="left"/>
        <w:rPr>
          <w:shd w:fill="FFFFFF" w:val="clear"/>
        </w:rPr>
      </w:pPr>
      <w:r>
        <w:rPr>
          <w:shd w:fill="FFFFFF" w:val="clear"/>
        </w:rPr>
        <w:t> </w:t>
      </w:r>
    </w:p>
    <w:tbl>
      <w:tblPr>
        <w:tblW w:w="9435" w:type="dxa"/>
        <w:jc w:val="left"/>
        <w:tblInd w:w="0" w:type="dxa"/>
        <w:tblLayout w:type="fixed"/>
        <w:tblCellMar>
          <w:top w:w="0" w:type="dxa"/>
          <w:left w:w="0" w:type="dxa"/>
          <w:bottom w:w="0" w:type="dxa"/>
          <w:right w:w="0" w:type="dxa"/>
        </w:tblCellMar>
      </w:tblPr>
      <w:tblGrid>
        <w:gridCol w:w="5270"/>
        <w:gridCol w:w="60"/>
        <w:gridCol w:w="740"/>
        <w:gridCol w:w="60"/>
        <w:gridCol w:w="3305"/>
      </w:tblGrid>
      <w:tr>
        <w:trPr/>
        <w:tc>
          <w:tcPr>
            <w:tcW w:w="5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52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3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270" w:type="dxa"/>
            <w:tcBorders/>
            <w:vAlign w:val="center"/>
          </w:tcPr>
          <w:p>
            <w:pPr>
              <w:pStyle w:val="TableContents"/>
              <w:bidi w:val="0"/>
              <w:spacing w:before="0" w:after="0"/>
              <w:jc w:val="center"/>
              <w:rPr>
                <w:b/>
                <w:spacing w:val="0"/>
              </w:rPr>
            </w:pPr>
            <w:r>
              <w:rPr>
                <w:b/>
                <w:spacing w:val="0"/>
              </w:rPr>
              <w:t>Class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TEM</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b/>
                <w:spacing w:val="0"/>
              </w:rPr>
            </w:pPr>
            <w:r>
              <w:rPr>
                <w:b/>
                <w:spacing w:val="0"/>
              </w:rPr>
              <w:t>The Nasdaq Stock Market LLC</w:t>
            </w:r>
          </w:p>
        </w:tc>
      </w:tr>
    </w:tbl>
    <w:p>
      <w:pPr>
        <w:pStyle w:val="TextBody"/>
        <w:bidi w:val="0"/>
        <w:spacing w:before="0" w:after="0"/>
        <w:ind w:left="0" w:right="0" w:hanging="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pStyle w:val="TextBody"/>
        <w:widowControl/>
        <w:bidi w:val="0"/>
        <w:spacing w:before="240" w:after="0"/>
        <w:ind w:left="0" w:right="0" w:hanging="0"/>
        <w:jc w:val="left"/>
        <w:rPr>
          <w:caps w:val="false"/>
          <w:smallCaps w:val="false"/>
          <w:color w:val="000000"/>
          <w:spacing w:val="0"/>
          <w:shd w:fill="FFFFFF" w:val="clear"/>
        </w:rPr>
      </w:pPr>
      <w:r>
        <w:rPr>
          <w:caps w:val="false"/>
          <w:smallCaps w:val="false"/>
          <w:color w:val="000000"/>
          <w:spacing w:val="0"/>
          <w:shd w:fill="FFFFFF" w:val="clear"/>
        </w:rPr>
        <w:t> ☐ </w:t>
      </w:r>
      <w:r>
        <w:rPr>
          <w:rFonts w:ascii="Times New Roman" w:hAnsi="Times New Roman"/>
          <w:b w:val="false"/>
          <w:i w:val="false"/>
          <w:caps w:val="false"/>
          <w:smallCaps w:val="false"/>
          <w:color w:val="000000"/>
          <w:spacing w:val="0"/>
          <w:sz w:val="20"/>
          <w:shd w:fill="FFFFFF" w:val="clear"/>
        </w:rPr>
        <w:t>No ☒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(§232.405 of this chapter) during the preceding 12 months (or for such shorter period that the registrant was required to submit such files). Yes ☒ No ☐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non-accelerated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w:t>
      </w:r>
    </w:p>
    <w:p>
      <w:pPr>
        <w:pStyle w:val="TextBody"/>
        <w:bidi w:val="0"/>
        <w:spacing w:before="0" w:after="0"/>
        <w:ind w:left="0" w:right="0" w:hanging="0"/>
        <w:jc w:val="left"/>
        <w:rPr>
          <w:shd w:fill="FFFFFF" w:val="clear"/>
        </w:rPr>
      </w:pPr>
      <w:r>
        <w:rPr>
          <w:shd w:fill="FFFFFF" w:val="clea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Act): Yes ☐ No ☒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As of August 6,</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2024</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there were 149,274,923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shares of Class A common stock and 5,043,789 shares of Class B common stock, each with a par value of $0.0001 per share, outstanding. </w:t>
      </w:r>
    </w:p>
    <w:p>
      <w:pPr>
        <w:pStyle w:val="TextBody"/>
        <w:bidi w:val="0"/>
        <w:spacing w:before="0" w:after="0"/>
        <w:ind w:left="0" w:right="0" w:hanging="0"/>
        <w:jc w:val="left"/>
        <w:rPr>
          <w:shd w:fill="FFFFFF" w:val="clear"/>
        </w:rPr>
      </w:pPr>
      <w:r>
        <w:rPr>
          <w:shd w:fill="FFFFFF" w:val="clear"/>
        </w:rPr>
        <w:t> </w:t>
      </w:r>
    </w:p>
    <w:p>
      <w:pPr>
        <w:pStyle w:val="TextBody"/>
        <w:bidi w:val="0"/>
        <w:spacing w:lineRule="atLeast" w:line="142" w:before="0" w:after="0"/>
        <w:ind w:left="0" w:right="0" w:hanging="0"/>
        <w:jc w:val="left"/>
        <w:rPr>
          <w:bdr w:val="single" w:sz="2" w:space="1" w:color="000000"/>
          <w:shd w:fill="FFFFFF" w:val="clear"/>
        </w:rPr>
      </w:pPr>
      <w:r>
        <w:rPr>
          <w:bdr w:val="single" w:sz="2" w:space="1" w:color="000000"/>
          <w:shd w:fill="FFFFFF" w:val="clear"/>
        </w:rPr>
        <w:t> </w:t>
      </w:r>
    </w:p>
    <w:p>
      <w:pPr>
        <w:pStyle w:val="TextBody"/>
        <w:bidi w:val="0"/>
        <w:spacing w:lineRule="atLeast" w:line="142"/>
        <w:ind w:left="0" w:right="0" w:hanging="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25"/>
        <w:gridCol w:w="60"/>
        <w:gridCol w:w="8710"/>
        <w:gridCol w:w="120"/>
        <w:gridCol w:w="70"/>
        <w:gridCol w:w="445"/>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bookmarkStart w:id="2" w:name="toc"/>
            <w:bookmarkEnd w:id="2"/>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gridSpan w:val="3"/>
            <w:tcBorders/>
            <w:vAlign w:val="center"/>
          </w:tcPr>
          <w:p>
            <w:pPr>
              <w:pStyle w:val="TableContents"/>
              <w:bidi w:val="0"/>
              <w:spacing w:before="0" w:after="20"/>
              <w:jc w:val="left"/>
              <w:rPr/>
            </w:pPr>
            <w:hyperlink w:anchor="toc700319_1aa">
              <w:r>
                <w:rPr>
                  <w:rStyle w:val="InternetLink"/>
                  <w:rFonts w:ascii="Times New Roman" w:hAnsi="Times New Roman"/>
                  <w:b/>
                  <w:sz w:val="20"/>
                </w:rPr>
                <w:t xml:space="preserve">Part I – Condensed Consolidated Financial Statements (unaudited)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Item 1. </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16">
              <w:r>
                <w:rPr>
                  <w:rStyle w:val="InternetLink"/>
                </w:rPr>
                <w:t xml:space="preserve">Condensed Consolidated Quarterly Financial Statements (Unaudited)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0"/>
              <w:jc w:val="left"/>
              <w:rPr/>
            </w:pPr>
            <w:hyperlink w:anchor="fin700319_1">
              <w:r>
                <w:rPr>
                  <w:rStyle w:val="InternetLink"/>
                  <w:rFonts w:ascii="Times New Roman" w:hAnsi="Times New Roman"/>
                  <w:sz w:val="20"/>
                </w:rPr>
                <w:t xml:space="preserve">Condensed Consolidated Balance Sheets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0"/>
              <w:jc w:val="left"/>
              <w:rPr/>
            </w:pPr>
            <w:hyperlink w:anchor="fin700319_2">
              <w:r>
                <w:rPr>
                  <w:rStyle w:val="InternetLink"/>
                  <w:rFonts w:ascii="Times New Roman" w:hAnsi="Times New Roman"/>
                  <w:sz w:val="20"/>
                </w:rPr>
                <w:t xml:space="preserve">Condensed Consolidated Statements of Operations and Comprehensive Loss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0"/>
              <w:jc w:val="left"/>
              <w:rPr/>
            </w:pPr>
            <w:hyperlink w:anchor="fin700319_3">
              <w:r>
                <w:rPr>
                  <w:rStyle w:val="InternetLink"/>
                  <w:rFonts w:ascii="Times New Roman" w:hAnsi="Times New Roman"/>
                  <w:sz w:val="20"/>
                </w:rPr>
                <w:t xml:space="preserve">Condensed Consolidated Statements of Cash Flows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0"/>
              <w:jc w:val="left"/>
              <w:rPr/>
            </w:pPr>
            <w:hyperlink w:anchor="fin700319_4">
              <w:r>
                <w:rPr>
                  <w:rStyle w:val="InternetLink"/>
                  <w:rFonts w:ascii="Times New Roman" w:hAnsi="Times New Roman"/>
                  <w:sz w:val="20"/>
                </w:rPr>
                <w:t xml:space="preserve">Condensed Consolidated Statements of Redeemable Convertible Preferred Stock, Common Stock and Stockholders’ Equity (Deficit)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0"/>
              <w:jc w:val="left"/>
              <w:rPr/>
            </w:pPr>
            <w:hyperlink w:anchor="fin700319_5">
              <w:r>
                <w:rPr>
                  <w:rStyle w:val="InternetLink"/>
                  <w:rFonts w:ascii="Times New Roman" w:hAnsi="Times New Roman"/>
                  <w:sz w:val="20"/>
                </w:rPr>
                <w:t xml:space="preserve">Notes to Condensed Consolidated Financial Statements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6">
              <w:r>
                <w:rPr>
                  <w:rStyle w:val="InternetLink"/>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7">
              <w:r>
                <w:rPr>
                  <w:rStyle w:val="InternetLink"/>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8">
              <w:r>
                <w:rPr>
                  <w:rStyle w:val="InternetLink"/>
                </w:rPr>
                <w:t>Controls and Procedures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495"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gridSpan w:val="3"/>
            <w:tcBorders/>
            <w:vAlign w:val="center"/>
          </w:tcPr>
          <w:p>
            <w:pPr>
              <w:pStyle w:val="TableContents"/>
              <w:bidi w:val="0"/>
              <w:spacing w:before="0" w:after="0"/>
              <w:jc w:val="left"/>
              <w:rPr/>
            </w:pPr>
            <w:hyperlink w:anchor="fin700319_9">
              <w:r>
                <w:rPr>
                  <w:rStyle w:val="InternetLink"/>
                  <w:rFonts w:ascii="Times New Roman" w:hAnsi="Times New Roman"/>
                  <w:b/>
                  <w:sz w:val="20"/>
                </w:rPr>
                <w:t xml:space="preserve">Part II – Other Information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10">
              <w:r>
                <w:rPr>
                  <w:rStyle w:val="InternetLink"/>
                </w:rPr>
                <w:t>Legal Proceedings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11">
              <w:r>
                <w:rPr>
                  <w:rStyle w:val="InternetLink"/>
                </w:rPr>
                <w:t>Risk Factors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12">
              <w:r>
                <w:rPr>
                  <w:rStyle w:val="InternetLink"/>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138</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13">
              <w:r>
                <w:rPr>
                  <w:rStyle w:val="InternetLink"/>
                </w:rPr>
                <w:t>Defaults Upon Senior Securities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138</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14">
              <w:r>
                <w:rPr>
                  <w:rStyle w:val="InternetLink"/>
                </w:rPr>
                <w:t>Mine Safety Disclosures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138</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15">
              <w:r>
                <w:rPr>
                  <w:rStyle w:val="InternetLink"/>
                </w:rPr>
                <w:t>Other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138</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7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hyperlink w:anchor="fin700319_17">
              <w:r>
                <w:rPr>
                  <w:rStyle w:val="InternetLink"/>
                </w:rPr>
                <w:t xml:space="preserve">Exhibits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139</w:t>
            </w:r>
          </w:p>
        </w:tc>
        <w:tc>
          <w:tcPr>
            <w:tcW w:w="75" w:type="dxa"/>
            <w:tcBorders/>
            <w:vAlign w:val="center"/>
          </w:tcPr>
          <w:p>
            <w:pPr>
              <w:pStyle w:val="TableContents"/>
              <w:bidi w:val="0"/>
              <w:spacing w:before="0" w:after="283"/>
              <w:jc w:val="left"/>
              <w:rPr/>
            </w:pPr>
            <w:r>
              <w:rPr/>
              <w:t> </w:t>
            </w:r>
          </w:p>
        </w:tc>
      </w:tr>
      <w:tr>
        <w:trPr/>
        <w:tc>
          <w:tcPr>
            <w:tcW w:w="9495"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gridSpan w:val="3"/>
            <w:tcBorders/>
            <w:vAlign w:val="center"/>
          </w:tcPr>
          <w:p>
            <w:pPr>
              <w:pStyle w:val="TableContents"/>
              <w:bidi w:val="0"/>
              <w:spacing w:before="0" w:after="0"/>
              <w:jc w:val="left"/>
              <w:rPr/>
            </w:pPr>
            <w:hyperlink w:anchor="fin700319_18">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140</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Tempus AI,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Condensed Consolidated Quarterly Financial Statements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June 30, 2024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Tempus AI,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(in thousands, except share and per share amounts)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6460"/>
        <w:gridCol w:w="120"/>
        <w:gridCol w:w="210"/>
        <w:gridCol w:w="1205"/>
        <w:gridCol w:w="60"/>
        <w:gridCol w:w="120"/>
        <w:gridCol w:w="244"/>
        <w:gridCol w:w="1711"/>
        <w:gridCol w:w="75"/>
      </w:tblGrid>
      <w:tr>
        <w:trPr/>
        <w:tc>
          <w:tcPr>
            <w:tcW w:w="6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June 30, 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Assets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w:t>
            </w:r>
          </w:p>
        </w:tc>
        <w:tc>
          <w:tcPr>
            <w:tcW w:w="1205" w:type="dxa"/>
            <w:tcBorders/>
            <w:shd w:fill="CCEEFF" w:val="clear"/>
            <w:vAlign w:val="center"/>
          </w:tcPr>
          <w:p>
            <w:pPr>
              <w:pStyle w:val="TableContents"/>
              <w:bidi w:val="0"/>
              <w:spacing w:before="0" w:after="0"/>
              <w:jc w:val="right"/>
              <w:rPr>
                <w:spacing w:val="0"/>
              </w:rPr>
            </w:pPr>
            <w:r>
              <w:rPr>
                <w:spacing w:val="0"/>
              </w:rPr>
              <w:t>478,811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p>
            <w:pPr>
              <w:pStyle w:val="TableContents"/>
              <w:bidi w:val="0"/>
              <w:spacing w:before="0" w:after="0"/>
              <w:jc w:val="left"/>
              <w:rPr>
                <w:spacing w:val="0"/>
              </w:rPr>
            </w:pPr>
            <w:r>
              <w:rPr>
                <w:spacing w:val="0"/>
              </w:rPr>
              <w:t> </w:t>
            </w:r>
          </w:p>
          <w:p>
            <w:pPr>
              <w:pStyle w:val="TableContents"/>
              <w:bidi w:val="0"/>
              <w:spacing w:before="0" w:after="0"/>
              <w:jc w:val="left"/>
              <w:rPr>
                <w:spacing w:val="0"/>
              </w:rPr>
            </w:pPr>
            <w:r>
              <w:rPr>
                <w:spacing w:val="0"/>
              </w:rPr>
              <w:t> </w:t>
            </w:r>
          </w:p>
          <w:p>
            <w:pPr>
              <w:pStyle w:val="TableContents"/>
              <w:bidi w:val="0"/>
              <w:spacing w:before="0" w:after="0"/>
              <w:jc w:val="left"/>
              <w:rPr>
                <w:spacing w:val="0"/>
              </w:rPr>
            </w:pPr>
            <w:r>
              <w:rPr>
                <w:spacing w:val="0"/>
              </w:rPr>
              <w:t> </w:t>
            </w:r>
          </w:p>
          <w:p>
            <w:pPr>
              <w:pStyle w:val="TableContents"/>
              <w:bidi w:val="0"/>
              <w:spacing w:before="0" w:after="0"/>
              <w:jc w:val="left"/>
              <w:rPr>
                <w:spacing w:val="0"/>
              </w:rPr>
            </w:pPr>
            <w:r>
              <w:rPr>
                <w:spacing w:val="0"/>
              </w:rPr>
              <w:t> </w:t>
            </w:r>
          </w:p>
          <w:p>
            <w:pPr>
              <w:pStyle w:val="TableContents"/>
              <w:bidi w:val="0"/>
              <w:spacing w:before="0" w:after="0"/>
              <w:jc w:val="left"/>
              <w:rPr>
                <w:spacing w:val="0"/>
              </w:rPr>
            </w:pPr>
            <w:r>
              <w:rPr>
                <w:spacing w:val="0"/>
              </w:rPr>
              <w:t> </w:t>
            </w:r>
          </w:p>
          <w:p>
            <w:pPr>
              <w:pStyle w:val="TableContents"/>
              <w:bidi w:val="0"/>
              <w:spacing w:before="0" w:after="0"/>
              <w:jc w:val="left"/>
              <w:rPr>
                <w:spacing w:val="0"/>
              </w:rPr>
            </w:pPr>
            <w:r>
              <w:rPr>
                <w:spacing w:val="0"/>
              </w:rPr>
              <w:t> </w:t>
            </w:r>
          </w:p>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w:t>
            </w:r>
          </w:p>
        </w:tc>
        <w:tc>
          <w:tcPr>
            <w:tcW w:w="1711" w:type="dxa"/>
            <w:tcBorders/>
            <w:shd w:fill="CCEEFF" w:val="clear"/>
            <w:vAlign w:val="center"/>
          </w:tcPr>
          <w:p>
            <w:pPr>
              <w:pStyle w:val="TableContents"/>
              <w:bidi w:val="0"/>
              <w:spacing w:before="0" w:after="0"/>
              <w:jc w:val="right"/>
              <w:rPr>
                <w:spacing w:val="0"/>
              </w:rPr>
            </w:pPr>
            <w:r>
              <w:rPr>
                <w:spacing w:val="0"/>
              </w:rPr>
              <w:t>165,767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 net of allowances of $1,092 and $1,115 at June 30, 2024 and December 31, 2023, respectively</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118,106</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94,462</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Inventory</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32,690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28,845</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Warrant asset</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800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5,070</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29,704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17,295</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Marketable equity securities</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11,255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31,807</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offering costs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7,085</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w:t>
            </w:r>
          </w:p>
        </w:tc>
        <w:tc>
          <w:tcPr>
            <w:tcW w:w="1205" w:type="dxa"/>
            <w:tcBorders/>
            <w:vAlign w:val="center"/>
          </w:tcPr>
          <w:p>
            <w:pPr>
              <w:pStyle w:val="TableContents"/>
              <w:bidi w:val="0"/>
              <w:spacing w:before="0" w:after="0"/>
              <w:jc w:val="right"/>
              <w:rPr>
                <w:spacing w:val="0"/>
              </w:rPr>
            </w:pPr>
            <w:r>
              <w:rPr>
                <w:spacing w:val="0"/>
              </w:rPr>
              <w:t>671,366</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w:t>
            </w:r>
          </w:p>
        </w:tc>
        <w:tc>
          <w:tcPr>
            <w:tcW w:w="1711" w:type="dxa"/>
            <w:tcBorders/>
            <w:vAlign w:val="center"/>
          </w:tcPr>
          <w:p>
            <w:pPr>
              <w:pStyle w:val="TableContents"/>
              <w:bidi w:val="0"/>
              <w:spacing w:before="0" w:after="0"/>
              <w:jc w:val="right"/>
              <w:rPr>
                <w:spacing w:val="0"/>
              </w:rPr>
            </w:pPr>
            <w:r>
              <w:rPr>
                <w:spacing w:val="0"/>
              </w:rPr>
              <w:t>350,331</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60,539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61,681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Goodwill</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73,345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73,354</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Warrant asset, less current portion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1,500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4,930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 net</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16,252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21,916</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Investments and other 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7,677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8,971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Warrant contract asset, less current portion</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19,077</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21,499</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right-of-use 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13,994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20,530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861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840</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w:t>
            </w:r>
          </w:p>
        </w:tc>
        <w:tc>
          <w:tcPr>
            <w:tcW w:w="1205" w:type="dxa"/>
            <w:tcBorders/>
            <w:shd w:fill="CCEEFF" w:val="clear"/>
            <w:vAlign w:val="center"/>
          </w:tcPr>
          <w:p>
            <w:pPr>
              <w:pStyle w:val="TableContents"/>
              <w:bidi w:val="0"/>
              <w:spacing w:before="0" w:after="0"/>
              <w:jc w:val="right"/>
              <w:rPr>
                <w:spacing w:val="0"/>
              </w:rPr>
            </w:pPr>
            <w:r>
              <w:rPr>
                <w:spacing w:val="0"/>
              </w:rPr>
              <w:t>864,611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w:t>
            </w:r>
          </w:p>
        </w:tc>
        <w:tc>
          <w:tcPr>
            <w:tcW w:w="1711" w:type="dxa"/>
            <w:tcBorders/>
            <w:shd w:fill="CCEEFF" w:val="clear"/>
            <w:vAlign w:val="center"/>
          </w:tcPr>
          <w:p>
            <w:pPr>
              <w:pStyle w:val="TableContents"/>
              <w:bidi w:val="0"/>
              <w:spacing w:before="0" w:after="0"/>
              <w:jc w:val="right"/>
              <w:rPr>
                <w:spacing w:val="0"/>
              </w:rPr>
            </w:pPr>
            <w:r>
              <w:rPr>
                <w:spacing w:val="0"/>
              </w:rPr>
              <w:t>564,052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Convertible redeemable preferred stock, and Stockholders’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equity (</w:t>
            </w:r>
          </w:p>
          <w:p>
            <w:pPr>
              <w:pStyle w:val="TableContents"/>
              <w:bidi w:val="0"/>
              <w:spacing w:before="0" w:after="0"/>
              <w:jc w:val="left"/>
              <w:rPr>
                <w:rFonts w:ascii="Times New Roman" w:hAnsi="Times New Roman"/>
                <w:b/>
                <w:sz w:val="20"/>
              </w:rPr>
            </w:pPr>
            <w:r>
              <w:rPr>
                <w:rFonts w:ascii="Times New Roman" w:hAnsi="Times New Roman"/>
                <w:b/>
                <w:sz w:val="20"/>
              </w:rPr>
              <w:t>deficit</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28,646</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54,421</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85,185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82,517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revenue</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50,905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64,860</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7,273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8,213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5,828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6,437</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data licensing fees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3,727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6,382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dividends</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9,797</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w:t>
            </w:r>
          </w:p>
        </w:tc>
        <w:tc>
          <w:tcPr>
            <w:tcW w:w="1205" w:type="dxa"/>
            <w:tcBorders/>
            <w:shd w:fill="CCEEFF" w:val="clear"/>
            <w:vAlign w:val="center"/>
          </w:tcPr>
          <w:p>
            <w:pPr>
              <w:pStyle w:val="TableContents"/>
              <w:bidi w:val="0"/>
              <w:spacing w:before="0" w:after="0"/>
              <w:jc w:val="right"/>
              <w:rPr>
                <w:spacing w:val="0"/>
              </w:rPr>
            </w:pPr>
            <w:r>
              <w:rPr>
                <w:spacing w:val="0"/>
              </w:rPr>
              <w:t>181,564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w:t>
            </w:r>
          </w:p>
        </w:tc>
        <w:tc>
          <w:tcPr>
            <w:tcW w:w="1711" w:type="dxa"/>
            <w:tcBorders/>
            <w:shd w:fill="CCEEFF" w:val="clear"/>
            <w:vAlign w:val="center"/>
          </w:tcPr>
          <w:p>
            <w:pPr>
              <w:pStyle w:val="TableContents"/>
              <w:bidi w:val="0"/>
              <w:spacing w:before="0" w:after="0"/>
              <w:jc w:val="right"/>
              <w:rPr>
                <w:spacing w:val="0"/>
              </w:rPr>
            </w:pPr>
            <w:r>
              <w:rPr>
                <w:spacing w:val="0"/>
              </w:rPr>
              <w:t>232,627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 less current portion</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27,238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32,040</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promissory note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180,648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193,124</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Warrant liability</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33,600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34,500</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long-term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16,790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19,751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payable</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62,608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55,321</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debt, net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261,853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256,541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revenue, less current portion</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2,059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rPr>
            </w:pPr>
            <w:r>
              <w:rPr>
                <w:spacing w:val="0"/>
              </w:rPr>
              <w:t> </w:t>
            </w:r>
          </w:p>
        </w:tc>
        <w:tc>
          <w:tcPr>
            <w:tcW w:w="1711" w:type="dxa"/>
            <w:tcBorders/>
            <w:vAlign w:val="center"/>
          </w:tcPr>
          <w:p>
            <w:pPr>
              <w:pStyle w:val="TableContents"/>
              <w:bidi w:val="0"/>
              <w:spacing w:before="0" w:after="0"/>
              <w:jc w:val="right"/>
              <w:rPr>
                <w:spacing w:val="0"/>
              </w:rPr>
            </w:pPr>
            <w:r>
              <w:rPr>
                <w:spacing w:val="0"/>
              </w:rPr>
              <w:t>16,768</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w:t>
            </w:r>
          </w:p>
        </w:tc>
        <w:tc>
          <w:tcPr>
            <w:tcW w:w="1205" w:type="dxa"/>
            <w:tcBorders/>
            <w:shd w:fill="CCEEFF" w:val="clear"/>
            <w:vAlign w:val="center"/>
          </w:tcPr>
          <w:p>
            <w:pPr>
              <w:pStyle w:val="TableContents"/>
              <w:bidi w:val="0"/>
              <w:spacing w:before="0" w:after="0"/>
              <w:jc w:val="right"/>
              <w:rPr>
                <w:spacing w:val="0"/>
              </w:rPr>
            </w:pPr>
            <w:r>
              <w:rPr>
                <w:spacing w:val="0"/>
              </w:rPr>
              <w:t>766,360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w:t>
            </w:r>
          </w:p>
        </w:tc>
        <w:tc>
          <w:tcPr>
            <w:tcW w:w="1711" w:type="dxa"/>
            <w:tcBorders/>
            <w:shd w:fill="CCEEFF" w:val="clear"/>
            <w:vAlign w:val="center"/>
          </w:tcPr>
          <w:p>
            <w:pPr>
              <w:pStyle w:val="TableContents"/>
              <w:bidi w:val="0"/>
              <w:spacing w:before="0" w:after="0"/>
              <w:jc w:val="right"/>
              <w:rPr>
                <w:spacing w:val="0"/>
              </w:rPr>
            </w:pPr>
            <w:r>
              <w:rPr>
                <w:spacing w:val="0"/>
              </w:rPr>
              <w:t>840,672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64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Commitments and contingencies (Note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7</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4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Convertible redeemable preferred stock, $0.0001 par value, no and 69,803,765 shares authorized at </w:t>
              <w:br/>
              <w:t xml:space="preserve">June 30, 2024 and December 31, 2023, respectively; no and 63,525,953 shares issued and outstanding </w:t>
              <w:br/>
              <w:t>at June 30, 2024 and December 31, 2023, respectively; aggregate liquidation preference of $0 and</w:t>
              <w:br/>
              <w:t>$1,130,429 at</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June 30, 2024 and December 31, 2023, respectively</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4" w:type="dxa"/>
            <w:tcBorders/>
            <w:shd w:fill="CCEEFF" w:val="clear"/>
            <w:vAlign w:val="center"/>
          </w:tcPr>
          <w:p>
            <w:pPr>
              <w:pStyle w:val="TableContents"/>
              <w:bidi w:val="0"/>
              <w:spacing w:before="0" w:after="0"/>
              <w:jc w:val="left"/>
              <w:rPr>
                <w:spacing w:val="0"/>
              </w:rPr>
            </w:pPr>
            <w:r>
              <w:rPr>
                <w:spacing w:val="0"/>
              </w:rPr>
              <w:t> </w:t>
            </w:r>
          </w:p>
        </w:tc>
        <w:tc>
          <w:tcPr>
            <w:tcW w:w="1711" w:type="dxa"/>
            <w:tcBorders/>
            <w:shd w:fill="CCEEFF" w:val="clear"/>
            <w:vAlign w:val="center"/>
          </w:tcPr>
          <w:p>
            <w:pPr>
              <w:pStyle w:val="TableContents"/>
              <w:bidi w:val="0"/>
              <w:spacing w:before="0" w:after="0"/>
              <w:jc w:val="right"/>
              <w:rPr>
                <w:spacing w:val="0"/>
              </w:rPr>
            </w:pPr>
            <w:r>
              <w:rPr>
                <w:spacing w:val="0"/>
              </w:rPr>
              <w:t>1,105,543</w:t>
            </w:r>
          </w:p>
        </w:tc>
        <w:tc>
          <w:tcPr>
            <w:tcW w:w="75"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before="24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The accompanying notes are an integral part of these </w:t>
      </w:r>
    </w:p>
    <w:p>
      <w:pPr>
        <w:pStyle w:val="TextBody"/>
        <w:bidi w:val="0"/>
        <w:spacing w:before="240" w:after="0"/>
        <w:jc w:val="center"/>
        <w:rPr>
          <w:rFonts w:ascii="Times New Roman" w:hAnsi="Times New Roman"/>
          <w:spacing w:val="0"/>
          <w:sz w:val="20"/>
          <w:shd w:fill="FFFFFF" w:val="clear"/>
        </w:rPr>
      </w:pPr>
      <w:r>
        <w:rPr>
          <w:rFonts w:ascii="Times New Roman" w:hAnsi="Times New Roman"/>
          <w:spacing w:val="0"/>
          <w:sz w:val="20"/>
          <w:shd w:fill="FFFFFF" w:val="clear"/>
        </w:rPr>
        <w:t>condensed </w:t>
      </w:r>
    </w:p>
    <w:p>
      <w:pPr>
        <w:pStyle w:val="TextBody"/>
        <w:bidi w:val="0"/>
        <w:spacing w:before="24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consolidated financial statements.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310"/>
        <w:gridCol w:w="120"/>
        <w:gridCol w:w="140"/>
        <w:gridCol w:w="1055"/>
        <w:gridCol w:w="155"/>
        <w:gridCol w:w="60"/>
        <w:gridCol w:w="140"/>
        <w:gridCol w:w="1055"/>
        <w:gridCol w:w="170"/>
      </w:tblGrid>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Stockholders’ equity (deficit)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A Voting Common Stock, $0.0001 par value, 1,000,000,000 and 200,228,024 shares </w:t>
              <w:br/>
              <w:t>authorized at June 30, 2024 and December 31, 2023, respectively; 149,274,923 and</w:t>
              <w:br/>
              <w:t>58,367,961 shares issued and outstanding at June 30, 2024 and December 31, 2023,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B Voting Common Stock, $0.0001 par value, 5,500,000 and 5,374,899 shares authorized at </w:t>
              <w:br/>
              <w:t>June 30, 2024 and December 31, 2023, respectively; 5,043,789 and no shares issued and</w:t>
              <w:br/>
              <w:t>outstanding at June 30, 2024 and December 31, 2023, respectively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Non-voting Common Stock, $0.0001 par value, no and 66,946,627 shares authorized at June 30, </w:t>
              <w:br/>
              <w:t xml:space="preserve">2024 and December 31, 2023, respectively;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w:t>
            </w:r>
          </w:p>
          <w:p>
            <w:pPr>
              <w:pStyle w:val="TableContents"/>
              <w:bidi w:val="0"/>
              <w:spacing w:before="0" w:after="0"/>
              <w:jc w:val="left"/>
              <w:rPr>
                <w:rFonts w:ascii="Times New Roman" w:hAnsi="Times New Roman"/>
                <w:sz w:val="20"/>
              </w:rPr>
            </w:pPr>
            <w:r>
              <w:rPr>
                <w:rFonts w:ascii="Times New Roman" w:hAnsi="Times New Roman"/>
                <w:sz w:val="20"/>
              </w:rPr>
              <w:t xml:space="preserve">shares issued and outstanding at June 30, 2024, </w:t>
              <w:br/>
              <w:t>and 5,205,802 shares issued and 5,060,336 shares outstanding at December 31, 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0</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145,466 shares at June 30, 2024 and December 31, 2023, at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(3,602</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2,163,911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18,345</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(2,061,980</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(1,396,917</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Stockholders’ equity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98,251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(1,382,163</w:t>
            </w:r>
          </w:p>
        </w:tc>
        <w:tc>
          <w:tcPr>
            <w:tcW w:w="170" w:type="dxa"/>
            <w:tcBorders/>
            <w:shd w:fill="CCEEFF" w:val="clear"/>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Convertible redeemable preferred stock, and Stockholders’ equity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864,611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564,052</w:t>
            </w:r>
          </w:p>
        </w:tc>
        <w:tc>
          <w:tcPr>
            <w:tcW w:w="17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widowControl/>
        <w:bidi w:val="0"/>
        <w:spacing w:before="240" w:after="0"/>
        <w:ind w:left="0" w:right="0" w:hanging="0"/>
        <w:jc w:val="center"/>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The accompanying notes are an integral part of these </w:t>
      </w:r>
    </w:p>
    <w:p>
      <w:pPr>
        <w:pStyle w:val="TextBody"/>
        <w:widowControl/>
        <w:bidi w:val="0"/>
        <w:spacing w:before="240" w:after="0"/>
        <w:jc w:val="center"/>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condensed </w:t>
      </w:r>
    </w:p>
    <w:p>
      <w:pPr>
        <w:pStyle w:val="TextBody"/>
        <w:widowControl/>
        <w:bidi w:val="0"/>
        <w:spacing w:before="240" w:after="0"/>
        <w:jc w:val="center"/>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consolidated financial statements. </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ind w:left="0" w:right="0" w:hanging="0"/>
        <w:jc w:val="center"/>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Tempus AI,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CONDENSED CONSOLIDATED STATEMENTS OF OPERATIONS AND COMPREHENS</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IVE</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LOSS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(in thousands, except per share amounts)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3825"/>
        <w:gridCol w:w="120"/>
        <w:gridCol w:w="204"/>
        <w:gridCol w:w="1280"/>
        <w:gridCol w:w="137"/>
        <w:gridCol w:w="87"/>
        <w:gridCol w:w="204"/>
        <w:gridCol w:w="1172"/>
        <w:gridCol w:w="155"/>
        <w:gridCol w:w="60"/>
        <w:gridCol w:w="178"/>
        <w:gridCol w:w="1116"/>
        <w:gridCol w:w="120"/>
        <w:gridCol w:w="75"/>
        <w:gridCol w:w="178"/>
        <w:gridCol w:w="1118"/>
        <w:gridCol w:w="176"/>
      </w:tblGrid>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8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78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 June 30,</w:t>
            </w:r>
          </w:p>
        </w:tc>
        <w:tc>
          <w:tcPr>
            <w:tcW w:w="176" w:type="dxa"/>
            <w:tcBorders/>
            <w:vAlign w:val="center"/>
          </w:tcPr>
          <w:p>
            <w:pPr>
              <w:pStyle w:val="TableContents"/>
              <w:bidi w:val="0"/>
              <w:spacing w:before="0" w:after="0"/>
              <w:jc w:val="left"/>
              <w:rPr>
                <w:spacing w:val="0"/>
              </w:rPr>
            </w:pPr>
            <w:r>
              <w:rPr>
                <w:spacing w:val="0"/>
              </w:rPr>
              <w:t> </w:t>
            </w:r>
          </w:p>
        </w:tc>
      </w:tr>
      <w:tr>
        <w:trPr/>
        <w:tc>
          <w:tcPr>
            <w:tcW w:w="38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8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37" w:type="dxa"/>
            <w:tcBorders/>
            <w:vAlign w:val="center"/>
          </w:tcPr>
          <w:p>
            <w:pPr>
              <w:pStyle w:val="TableContents"/>
              <w:bidi w:val="0"/>
              <w:spacing w:before="0" w:after="0"/>
              <w:jc w:val="left"/>
              <w:rPr>
                <w:spacing w:val="0"/>
              </w:rPr>
            </w:pPr>
            <w:r>
              <w:rPr>
                <w:spacing w:val="0"/>
              </w:rPr>
              <w:t> </w:t>
            </w:r>
          </w:p>
        </w:tc>
        <w:tc>
          <w:tcPr>
            <w:tcW w:w="87" w:type="dxa"/>
            <w:tcBorders/>
            <w:vAlign w:val="center"/>
          </w:tcPr>
          <w:p>
            <w:pPr>
              <w:pStyle w:val="TableContents"/>
              <w:bidi w:val="0"/>
              <w:spacing w:before="0" w:after="0"/>
              <w:jc w:val="left"/>
              <w:rPr>
                <w:spacing w:val="0"/>
              </w:rPr>
            </w:pPr>
            <w:r>
              <w:rPr>
                <w:spacing w:val="0"/>
              </w:rPr>
              <w:t> </w:t>
            </w:r>
          </w:p>
        </w:tc>
        <w:tc>
          <w:tcPr>
            <w:tcW w:w="137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20"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c>
          <w:tcPr>
            <w:tcW w:w="129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6" w:type="dxa"/>
            <w:tcBorders/>
            <w:vAlign w:val="center"/>
          </w:tcPr>
          <w:p>
            <w:pPr>
              <w:pStyle w:val="TableContents"/>
              <w:bidi w:val="0"/>
              <w:spacing w:before="0" w:after="0"/>
              <w:jc w:val="left"/>
              <w:rPr>
                <w:spacing w:val="0"/>
              </w:rPr>
            </w:pPr>
            <w:r>
              <w:rPr>
                <w:spacing w:val="0"/>
              </w:rPr>
              <w:t> </w:t>
            </w:r>
          </w:p>
        </w:tc>
      </w:tr>
      <w:tr>
        <w:trPr/>
        <w:tc>
          <w:tcPr>
            <w:tcW w:w="38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Net revenue </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1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Genomics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112,324</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91,924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6" w:type="dxa"/>
            <w:tcBorders/>
            <w:vAlign w:val="center"/>
          </w:tcPr>
          <w:p>
            <w:pPr>
              <w:pStyle w:val="TableContents"/>
              <w:bidi w:val="0"/>
              <w:spacing w:before="0" w:after="283"/>
              <w:jc w:val="right"/>
              <w:rPr/>
            </w:pPr>
            <w:r>
              <w:rPr/>
              <w:t>214,893</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8" w:type="dxa"/>
            <w:tcBorders/>
            <w:vAlign w:val="center"/>
          </w:tcPr>
          <w:p>
            <w:pPr>
              <w:pStyle w:val="TableContents"/>
              <w:bidi w:val="0"/>
              <w:spacing w:before="0" w:after="283"/>
              <w:jc w:val="right"/>
              <w:rPr/>
            </w:pPr>
            <w:r>
              <w:rPr/>
              <w:t>173,982</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Data and services</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53,645</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40,493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96,896</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74,059</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165,969</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132,417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6" w:type="dxa"/>
            <w:tcBorders/>
            <w:vAlign w:val="center"/>
          </w:tcPr>
          <w:p>
            <w:pPr>
              <w:pStyle w:val="TableContents"/>
              <w:bidi w:val="0"/>
              <w:spacing w:before="0" w:after="283"/>
              <w:jc w:val="right"/>
              <w:rPr/>
            </w:pPr>
            <w:r>
              <w:rPr/>
              <w:t>311,789</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8" w:type="dxa"/>
            <w:tcBorders/>
            <w:vAlign w:val="center"/>
          </w:tcPr>
          <w:p>
            <w:pPr>
              <w:pStyle w:val="TableContents"/>
              <w:bidi w:val="0"/>
              <w:spacing w:before="0" w:after="283"/>
              <w:jc w:val="right"/>
              <w:rPr/>
            </w:pPr>
            <w:r>
              <w:rPr/>
              <w:t>248,041</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Cost and operating expenses</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1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 genomics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68,324</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46,961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121,159</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92,241</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 data and services</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22,132</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13,807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37,420</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25,200</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Technology research and development</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77,908</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23,427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104,975</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46,329</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68,025</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22,171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92,365</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43,034</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463,072</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71,189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542,636</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140,236</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and operating expenses</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699,461</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177,555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898,555</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347,040</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(533,492</w:t>
            </w:r>
          </w:p>
        </w:tc>
        <w:tc>
          <w:tcPr>
            <w:tcW w:w="137" w:type="dxa"/>
            <w:tcBorders/>
            <w:vAlign w:val="center"/>
          </w:tcPr>
          <w:p>
            <w:pPr>
              <w:pStyle w:val="TableContents"/>
              <w:bidi w:val="0"/>
              <w:spacing w:before="0" w:after="283"/>
              <w:jc w:val="left"/>
              <w:rPr/>
            </w:pPr>
            <w:r>
              <w:rPr/>
              <w:t>)</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(45,138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6" w:type="dxa"/>
            <w:tcBorders/>
            <w:vAlign w:val="center"/>
          </w:tcPr>
          <w:p>
            <w:pPr>
              <w:pStyle w:val="TableContents"/>
              <w:bidi w:val="0"/>
              <w:spacing w:before="0" w:after="283"/>
              <w:jc w:val="right"/>
              <w:rPr/>
            </w:pPr>
            <w:r>
              <w:rPr/>
              <w:t>(586,766</w:t>
            </w:r>
          </w:p>
        </w:tc>
        <w:tc>
          <w:tcPr>
            <w:tcW w:w="12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8" w:type="dxa"/>
            <w:tcBorders/>
            <w:vAlign w:val="center"/>
          </w:tcPr>
          <w:p>
            <w:pPr>
              <w:pStyle w:val="TableContents"/>
              <w:bidi w:val="0"/>
              <w:spacing w:before="0" w:after="283"/>
              <w:jc w:val="right"/>
              <w:rPr/>
            </w:pPr>
            <w:r>
              <w:rPr/>
              <w:t>(98,999</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1,718</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1,957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2,749</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4,381</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(13,295</w:t>
            </w:r>
          </w:p>
        </w:tc>
        <w:tc>
          <w:tcPr>
            <w:tcW w:w="137" w:type="dxa"/>
            <w:tcBorders/>
            <w:vAlign w:val="center"/>
          </w:tcPr>
          <w:p>
            <w:pPr>
              <w:pStyle w:val="TableContents"/>
              <w:bidi w:val="0"/>
              <w:spacing w:before="0" w:after="283"/>
              <w:jc w:val="left"/>
              <w:rPr/>
            </w:pPr>
            <w:r>
              <w:rPr/>
              <w:t>)</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(11,712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(26,533</w:t>
            </w:r>
          </w:p>
        </w:tc>
        <w:tc>
          <w:tcPr>
            <w:tcW w:w="12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(20,903</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(7,048</w:t>
            </w:r>
          </w:p>
        </w:tc>
        <w:tc>
          <w:tcPr>
            <w:tcW w:w="13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(6,299</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5,622</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(552,117</w:t>
            </w:r>
          </w:p>
        </w:tc>
        <w:tc>
          <w:tcPr>
            <w:tcW w:w="137" w:type="dxa"/>
            <w:tcBorders/>
            <w:vAlign w:val="center"/>
          </w:tcPr>
          <w:p>
            <w:pPr>
              <w:pStyle w:val="TableContents"/>
              <w:bidi w:val="0"/>
              <w:spacing w:before="0" w:after="283"/>
              <w:jc w:val="left"/>
              <w:rPr/>
            </w:pPr>
            <w:r>
              <w:rPr/>
              <w:t>)</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(55,659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6" w:type="dxa"/>
            <w:tcBorders/>
            <w:vAlign w:val="center"/>
          </w:tcPr>
          <w:p>
            <w:pPr>
              <w:pStyle w:val="TableContents"/>
              <w:bidi w:val="0"/>
              <w:spacing w:before="0" w:after="283"/>
              <w:jc w:val="right"/>
              <w:rPr/>
            </w:pPr>
            <w:r>
              <w:rPr/>
              <w:t>(616,849</w:t>
            </w:r>
          </w:p>
        </w:tc>
        <w:tc>
          <w:tcPr>
            <w:tcW w:w="12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8" w:type="dxa"/>
            <w:tcBorders/>
            <w:vAlign w:val="center"/>
          </w:tcPr>
          <w:p>
            <w:pPr>
              <w:pStyle w:val="TableContents"/>
              <w:bidi w:val="0"/>
              <w:spacing w:before="0" w:after="283"/>
              <w:jc w:val="right"/>
              <w:rPr/>
            </w:pPr>
            <w:r>
              <w:rPr/>
              <w:t>(109,899</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(95</w:t>
            </w:r>
          </w:p>
        </w:tc>
        <w:tc>
          <w:tcPr>
            <w:tcW w:w="13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(106</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(9</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Losses from equity method investments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(301</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(552,212</w:t>
            </w:r>
          </w:p>
        </w:tc>
        <w:tc>
          <w:tcPr>
            <w:tcW w:w="13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(55,832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(616,955</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(110,209</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1280" w:type="dxa"/>
            <w:tcBorders/>
            <w:vAlign w:val="center"/>
          </w:tcPr>
          <w:p>
            <w:pPr>
              <w:pStyle w:val="TableContents"/>
              <w:bidi w:val="0"/>
              <w:spacing w:before="0" w:after="0"/>
              <w:jc w:val="left"/>
              <w:rPr>
                <w:bdr w:val="double" w:sz="6" w:space="1" w:color="000000"/>
              </w:rPr>
            </w:pPr>
            <w:r>
              <w:rPr>
                <w:bdr w:val="double" w:sz="6"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11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double" w:sz="6" w:space="1" w:color="000000"/>
              </w:rPr>
            </w:pPr>
            <w:r>
              <w:rPr>
                <w:bdr w:val="double" w:sz="6" w:space="1" w:color="000000"/>
              </w:rPr>
              <w:t> </w:t>
            </w:r>
          </w:p>
        </w:tc>
        <w:tc>
          <w:tcPr>
            <w:tcW w:w="111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double" w:sz="6" w:space="1" w:color="000000"/>
              </w:rPr>
            </w:pPr>
            <w:r>
              <w:rPr>
                <w:bdr w:val="double" w:sz="6" w:space="1" w:color="000000"/>
              </w:rPr>
              <w:t> </w:t>
            </w:r>
          </w:p>
        </w:tc>
        <w:tc>
          <w:tcPr>
            <w:tcW w:w="1118"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on Series A, B, B-1, B-2, C, D, E, F, G, G-3, and G-4 preferred shares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(11,540</w:t>
            </w:r>
          </w:p>
        </w:tc>
        <w:tc>
          <w:tcPr>
            <w:tcW w:w="137" w:type="dxa"/>
            <w:tcBorders/>
            <w:vAlign w:val="center"/>
          </w:tcPr>
          <w:p>
            <w:pPr>
              <w:pStyle w:val="TableContents"/>
              <w:bidi w:val="0"/>
              <w:spacing w:before="0" w:after="283"/>
              <w:jc w:val="left"/>
              <w:rPr/>
            </w:pPr>
            <w:r>
              <w:rPr/>
              <w:t>)</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(10,897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(39,347</w:t>
            </w:r>
          </w:p>
        </w:tc>
        <w:tc>
          <w:tcPr>
            <w:tcW w:w="12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(21,566</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Cumulative Undeclared Dividends on Series C preferred shares</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(668</w:t>
            </w:r>
          </w:p>
        </w:tc>
        <w:tc>
          <w:tcPr>
            <w:tcW w:w="13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(745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(1,174</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(1,466</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shareholders, basic and diluted</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(564,420</w:t>
            </w:r>
          </w:p>
        </w:tc>
        <w:tc>
          <w:tcPr>
            <w:tcW w:w="137" w:type="dxa"/>
            <w:tcBorders/>
            <w:vAlign w:val="center"/>
          </w:tcPr>
          <w:p>
            <w:pPr>
              <w:pStyle w:val="TableContents"/>
              <w:bidi w:val="0"/>
              <w:spacing w:before="0" w:after="283"/>
              <w:jc w:val="left"/>
              <w:rPr/>
            </w:pPr>
            <w:r>
              <w:rPr/>
              <w:t>)</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(67,474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(657,476</w:t>
            </w:r>
          </w:p>
        </w:tc>
        <w:tc>
          <w:tcPr>
            <w:tcW w:w="12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(133,241</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shareholders, basic and diluted</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(6.86</w:t>
            </w:r>
          </w:p>
        </w:tc>
        <w:tc>
          <w:tcPr>
            <w:tcW w:w="13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(9.02</w:t>
            </w:r>
          </w:p>
        </w:tc>
        <w:tc>
          <w:tcPr>
            <w:tcW w:w="120" w:type="dxa"/>
            <w:tcBorders/>
            <w:shd w:fill="CCEEFF" w:val="clear"/>
            <w:vAlign w:val="center"/>
          </w:tcPr>
          <w:p>
            <w:pPr>
              <w:pStyle w:val="TableContents"/>
              <w:bidi w:val="0"/>
              <w:spacing w:before="0" w:after="0"/>
              <w:jc w:val="left"/>
              <w:rPr>
                <w:spacing w:val="0"/>
              </w:rPr>
            </w:pPr>
            <w:r>
              <w:rPr>
                <w:spacing w:val="0"/>
              </w:rPr>
              <w:t>)</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(2.11</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used to compute net loss per share, basic and diluted</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82,325</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63,286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right"/>
              <w:rPr/>
            </w:pPr>
            <w:r>
              <w:rPr/>
              <w:t>72,930</w:t>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63,257</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1280" w:type="dxa"/>
            <w:tcBorders/>
            <w:vAlign w:val="center"/>
          </w:tcPr>
          <w:p>
            <w:pPr>
              <w:pStyle w:val="TableContents"/>
              <w:bidi w:val="0"/>
              <w:spacing w:before="0" w:after="0"/>
              <w:jc w:val="left"/>
              <w:rPr>
                <w:bdr w:val="double" w:sz="6" w:space="1" w:color="000000"/>
              </w:rPr>
            </w:pPr>
            <w:r>
              <w:rPr>
                <w:bdr w:val="double" w:sz="6"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11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double" w:sz="6" w:space="1" w:color="000000"/>
              </w:rPr>
            </w:pPr>
            <w:r>
              <w:rPr>
                <w:bdr w:val="double" w:sz="6" w:space="1" w:color="000000"/>
              </w:rPr>
              <w:t> </w:t>
            </w:r>
          </w:p>
        </w:tc>
        <w:tc>
          <w:tcPr>
            <w:tcW w:w="111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double" w:sz="6" w:space="1" w:color="000000"/>
              </w:rPr>
            </w:pPr>
            <w:r>
              <w:rPr>
                <w:bdr w:val="double" w:sz="6" w:space="1" w:color="000000"/>
              </w:rPr>
              <w:t> </w:t>
            </w:r>
          </w:p>
        </w:tc>
        <w:tc>
          <w:tcPr>
            <w:tcW w:w="1118"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Comprehensive Loss, net of tax </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1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(552,212</w:t>
            </w:r>
          </w:p>
        </w:tc>
        <w:tc>
          <w:tcPr>
            <w:tcW w:w="137" w:type="dxa"/>
            <w:tcBorders/>
            <w:vAlign w:val="center"/>
          </w:tcPr>
          <w:p>
            <w:pPr>
              <w:pStyle w:val="TableContents"/>
              <w:bidi w:val="0"/>
              <w:spacing w:before="0" w:after="283"/>
              <w:jc w:val="left"/>
              <w:rPr/>
            </w:pPr>
            <w:r>
              <w:rPr/>
              <w:t>)</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(55,832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6" w:type="dxa"/>
            <w:tcBorders/>
            <w:vAlign w:val="center"/>
          </w:tcPr>
          <w:p>
            <w:pPr>
              <w:pStyle w:val="TableContents"/>
              <w:bidi w:val="0"/>
              <w:spacing w:before="0" w:after="283"/>
              <w:jc w:val="right"/>
              <w:rPr/>
            </w:pPr>
            <w:r>
              <w:rPr/>
              <w:t>(616,955</w:t>
            </w:r>
          </w:p>
        </w:tc>
        <w:tc>
          <w:tcPr>
            <w:tcW w:w="12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8" w:type="dxa"/>
            <w:tcBorders/>
            <w:vAlign w:val="center"/>
          </w:tcPr>
          <w:p>
            <w:pPr>
              <w:pStyle w:val="TableContents"/>
              <w:bidi w:val="0"/>
              <w:spacing w:before="0" w:after="283"/>
              <w:jc w:val="right"/>
              <w:rPr/>
            </w:pPr>
            <w:r>
              <w:rPr/>
              <w:t>(110,209</w:t>
            </w:r>
          </w:p>
        </w:tc>
        <w:tc>
          <w:tcPr>
            <w:tcW w:w="176"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(43</w:t>
            </w:r>
          </w:p>
        </w:tc>
        <w:tc>
          <w:tcPr>
            <w:tcW w:w="13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(99</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25</w:t>
            </w:r>
          </w:p>
        </w:tc>
        <w:tc>
          <w:tcPr>
            <w:tcW w:w="176" w:type="dxa"/>
            <w:tcBorders/>
            <w:shd w:fill="CCEEFF" w:val="clear"/>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(552,255</w:t>
            </w:r>
          </w:p>
        </w:tc>
        <w:tc>
          <w:tcPr>
            <w:tcW w:w="137" w:type="dxa"/>
            <w:tcBorders/>
            <w:vAlign w:val="center"/>
          </w:tcPr>
          <w:p>
            <w:pPr>
              <w:pStyle w:val="TableContents"/>
              <w:bidi w:val="0"/>
              <w:spacing w:before="0" w:after="283"/>
              <w:jc w:val="left"/>
              <w:rPr/>
            </w:pPr>
            <w:r>
              <w:rPr/>
              <w:t>)</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(55,779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6" w:type="dxa"/>
            <w:tcBorders/>
            <w:vAlign w:val="center"/>
          </w:tcPr>
          <w:p>
            <w:pPr>
              <w:pStyle w:val="TableContents"/>
              <w:bidi w:val="0"/>
              <w:spacing w:before="0" w:after="283"/>
              <w:jc w:val="right"/>
              <w:rPr/>
            </w:pPr>
            <w:r>
              <w:rPr/>
              <w:t>(617,054</w:t>
            </w:r>
          </w:p>
        </w:tc>
        <w:tc>
          <w:tcPr>
            <w:tcW w:w="120"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18" w:type="dxa"/>
            <w:tcBorders/>
            <w:vAlign w:val="center"/>
          </w:tcPr>
          <w:p>
            <w:pPr>
              <w:pStyle w:val="TableContents"/>
              <w:bidi w:val="0"/>
              <w:spacing w:before="0" w:after="283"/>
              <w:jc w:val="right"/>
              <w:rPr/>
            </w:pPr>
            <w:r>
              <w:rPr/>
              <w:t>(110,184</w:t>
            </w:r>
          </w:p>
        </w:tc>
        <w:tc>
          <w:tcPr>
            <w:tcW w:w="176" w:type="dxa"/>
            <w:tcBorders/>
            <w:vAlign w:val="center"/>
          </w:tcPr>
          <w:p>
            <w:pPr>
              <w:pStyle w:val="TableContents"/>
              <w:bidi w:val="0"/>
              <w:spacing w:before="0" w:after="283"/>
              <w:jc w:val="left"/>
              <w:rPr/>
            </w:pPr>
            <w:r>
              <w:rPr/>
              <w:t>) </w:t>
            </w:r>
          </w:p>
        </w:tc>
      </w:tr>
      <w:tr>
        <w:trPr/>
        <w:tc>
          <w:tcPr>
            <w:tcW w:w="3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111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w:t>
      </w:r>
    </w:p>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condensed </w:t>
      </w:r>
    </w:p>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consolidated financial statements.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Tempus AI,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(in thousands, except share and per share amounts)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7095"/>
        <w:gridCol w:w="120"/>
        <w:gridCol w:w="179"/>
        <w:gridCol w:w="1130"/>
        <w:gridCol w:w="121"/>
        <w:gridCol w:w="75"/>
        <w:gridCol w:w="179"/>
        <w:gridCol w:w="1132"/>
        <w:gridCol w:w="174"/>
      </w:tblGrid>
      <w:tr>
        <w:trPr/>
        <w:tc>
          <w:tcPr>
            <w:tcW w:w="7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1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 June 30,</w:t>
            </w:r>
          </w:p>
        </w:tc>
        <w:tc>
          <w:tcPr>
            <w:tcW w:w="174" w:type="dxa"/>
            <w:tcBorders/>
            <w:vAlign w:val="center"/>
          </w:tcPr>
          <w:p>
            <w:pPr>
              <w:pStyle w:val="TableContents"/>
              <w:bidi w:val="0"/>
              <w:spacing w:before="0" w:after="0"/>
              <w:jc w:val="left"/>
              <w:rPr>
                <w:spacing w:val="0"/>
              </w:rPr>
            </w:pPr>
            <w:r>
              <w:rPr>
                <w:spacing w:val="0"/>
              </w:rPr>
              <w:t> </w:t>
            </w:r>
          </w:p>
        </w:tc>
      </w:tr>
      <w:tr>
        <w:trPr/>
        <w:tc>
          <w:tcPr>
            <w:tcW w:w="70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21"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c>
          <w:tcPr>
            <w:tcW w:w="131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4" w:type="dxa"/>
            <w:tcBorders/>
            <w:vAlign w:val="center"/>
          </w:tcPr>
          <w:p>
            <w:pPr>
              <w:pStyle w:val="TableContents"/>
              <w:bidi w:val="0"/>
              <w:spacing w:before="0" w:after="0"/>
              <w:jc w:val="left"/>
              <w:rPr>
                <w:spacing w:val="0"/>
              </w:rPr>
            </w:pPr>
            <w:r>
              <w:rPr>
                <w:spacing w:val="0"/>
              </w:rPr>
              <w:t> </w:t>
            </w:r>
          </w:p>
        </w:tc>
      </w:tr>
      <w:tr>
        <w:trPr/>
        <w:tc>
          <w:tcPr>
            <w:tcW w:w="7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(616,955</w:t>
            </w:r>
          </w:p>
        </w:tc>
        <w:tc>
          <w:tcPr>
            <w:tcW w:w="121"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(110,209</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(900</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(5,700</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488,313</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warrant exercise</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(173</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marketable equity securities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(2,541</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original issue discount</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691</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489</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deferred financing fees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255</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255</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165</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warrant contract asset</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2,422</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3,307</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18,348</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16,185</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bad debt expense</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327</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1,376</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asset</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7,700</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equity-method investments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301</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finance right-of-use lease assets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190</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Non-cash operating lease costs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3,252</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3,382</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Minimum accretion expense</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92</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187</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7,359</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PIK interest added to principal</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4,366</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297</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assets and liabilities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(23,971</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(6,850</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(3,845</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(5,101</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(12,409</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(1,634</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 and other assets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1,294</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(4,528</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(33,371</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(4,195</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(28,669</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(19,974</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data licensing fees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(2,749</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(7,608</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&amp; other</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(2,805</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8,125</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payable</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7,287</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7,611</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(4,582</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(4,352</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(198,458</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(121,087</w:t>
            </w:r>
          </w:p>
        </w:tc>
        <w:tc>
          <w:tcPr>
            <w:tcW w:w="174" w:type="dxa"/>
            <w:tcBorders/>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(14,116</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(15,906</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 of marketable equity securities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23,098</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combinations, net of cash acquired (Note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4</w:t>
            </w:r>
          </w:p>
          <w:p>
            <w:pPr>
              <w:pStyle w:val="TableContents"/>
              <w:bidi w:val="0"/>
              <w:spacing w:before="0" w:after="0"/>
              <w:jc w:val="left"/>
              <w:rPr>
                <w:rFonts w:ascii="Times New Roman" w:hAnsi="Times New Roman"/>
                <w:sz w:val="20"/>
              </w:rPr>
            </w:pP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(2,869</w:t>
            </w:r>
          </w:p>
        </w:tc>
        <w:tc>
          <w:tcPr>
            <w:tcW w:w="174" w:type="dxa"/>
            <w:tcBorders/>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investing activities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8,982</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(18,775</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Proceeds from issuance of common stock in connection with initial public offering, net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underwriting </w:t>
            </w:r>
          </w:p>
          <w:p>
            <w:pPr>
              <w:pStyle w:val="TableContents"/>
              <w:bidi w:val="0"/>
              <w:spacing w:before="0" w:after="0"/>
              <w:jc w:val="left"/>
              <w:rPr>
                <w:rFonts w:ascii="Times New Roman" w:hAnsi="Times New Roman"/>
                <w:sz w:val="20"/>
              </w:rPr>
            </w:pPr>
            <w:r>
              <w:rPr>
                <w:rFonts w:ascii="Times New Roman" w:hAnsi="Times New Roman"/>
                <w:sz w:val="20"/>
              </w:rPr>
              <w:t>discounts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commissions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381,951</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withholding related to net share settlement of restricted stock units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(69,918</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Series G-5 Preferred Stock</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199,750</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payments on finance lease liabilities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(192</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treasury stock</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(3,602</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(2,714</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(151</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(5,625</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(5,625</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debt, net of original issue discount</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48,750</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indemnity holdback related to acquisition</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(813</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502,631</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39,180</w:t>
            </w:r>
          </w:p>
        </w:tc>
        <w:tc>
          <w:tcPr>
            <w:tcW w:w="174" w:type="dxa"/>
            <w:tcBorders/>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foreign exchange rates on cash</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(90</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28</w:t>
            </w:r>
          </w:p>
        </w:tc>
        <w:tc>
          <w:tcPr>
            <w:tcW w:w="174" w:type="dxa"/>
            <w:tcBorders/>
            <w:shd w:fill="CCEEFF" w:val="clear"/>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accompanying notes are an integral part of these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condensed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consolidated financial statements.</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600"/>
        <w:gridCol w:w="120"/>
        <w:gridCol w:w="140"/>
        <w:gridCol w:w="980"/>
        <w:gridCol w:w="60"/>
        <w:gridCol w:w="120"/>
        <w:gridCol w:w="140"/>
        <w:gridCol w:w="875"/>
        <w:gridCol w:w="170"/>
      </w:tblGrid>
      <w:tr>
        <w:trPr/>
        <w:tc>
          <w:tcPr>
            <w:tcW w:w="7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0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increase (decrease) in Cash, Cash Equivalents and Restricted Cash</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980" w:type="dxa"/>
            <w:tcBorders/>
            <w:shd w:fill="CCEEFF" w:val="clear"/>
            <w:vAlign w:val="center"/>
          </w:tcPr>
          <w:p>
            <w:pPr>
              <w:pStyle w:val="TableContents"/>
              <w:bidi w:val="0"/>
              <w:spacing w:before="0" w:after="283"/>
              <w:jc w:val="right"/>
              <w:rPr/>
            </w:pPr>
            <w:r>
              <w:rPr/>
              <w:t>313,065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75" w:type="dxa"/>
            <w:tcBorders/>
            <w:shd w:fill="CCEEFF" w:val="clear"/>
            <w:vAlign w:val="center"/>
          </w:tcPr>
          <w:p>
            <w:pPr>
              <w:pStyle w:val="TableContents"/>
              <w:bidi w:val="0"/>
              <w:spacing w:before="0" w:after="0"/>
              <w:jc w:val="right"/>
              <w:rPr>
                <w:spacing w:val="0"/>
              </w:rPr>
            </w:pPr>
            <w:r>
              <w:rPr>
                <w:spacing w:val="0"/>
              </w:rPr>
              <w:t>(100,654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600" w:type="dxa"/>
            <w:tcBorders/>
            <w:shd w:fill="FFFF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beginning of period</w:t>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rPr>
            </w:pPr>
            <w:r>
              <w:rPr>
                <w:spacing w:val="0"/>
              </w:rPr>
              <w:t> </w:t>
            </w:r>
          </w:p>
        </w:tc>
        <w:tc>
          <w:tcPr>
            <w:tcW w:w="980" w:type="dxa"/>
            <w:tcBorders/>
            <w:shd w:fill="FFFFFF" w:val="clear"/>
            <w:vAlign w:val="center"/>
          </w:tcPr>
          <w:p>
            <w:pPr>
              <w:pStyle w:val="TableContents"/>
              <w:bidi w:val="0"/>
              <w:spacing w:before="0" w:after="0"/>
              <w:jc w:val="right"/>
              <w:rPr>
                <w:spacing w:val="0"/>
              </w:rPr>
            </w:pPr>
            <w:r>
              <w:rPr>
                <w:spacing w:val="0"/>
              </w:rPr>
              <w:t>166,607</w:t>
            </w:r>
          </w:p>
        </w:tc>
        <w:tc>
          <w:tcPr>
            <w:tcW w:w="60" w:type="dxa"/>
            <w:tcBorders/>
            <w:shd w:fill="FFFFFF" w:val="clear"/>
            <w:vAlign w:val="center"/>
          </w:tcPr>
          <w:p>
            <w:pPr>
              <w:pStyle w:val="TableContents"/>
              <w:bidi w:val="0"/>
              <w:spacing w:before="0" w:after="0"/>
              <w:jc w:val="left"/>
              <w:rPr>
                <w:spacing w:val="0"/>
              </w:rPr>
            </w:pPr>
            <w:r>
              <w:rPr>
                <w:spacing w:val="0"/>
              </w:rPr>
              <w:t> </w:t>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rPr>
            </w:pPr>
            <w:r>
              <w:rPr>
                <w:spacing w:val="0"/>
              </w:rPr>
              <w:t> </w:t>
            </w:r>
          </w:p>
        </w:tc>
        <w:tc>
          <w:tcPr>
            <w:tcW w:w="875" w:type="dxa"/>
            <w:tcBorders/>
            <w:shd w:fill="FFFFFF" w:val="clear"/>
            <w:vAlign w:val="center"/>
          </w:tcPr>
          <w:p>
            <w:pPr>
              <w:pStyle w:val="TableContents"/>
              <w:bidi w:val="0"/>
              <w:spacing w:before="0" w:after="0"/>
              <w:jc w:val="right"/>
              <w:rPr>
                <w:spacing w:val="0"/>
              </w:rPr>
            </w:pPr>
            <w:r>
              <w:rPr>
                <w:spacing w:val="0"/>
              </w:rPr>
              <w:t>303,731</w:t>
            </w:r>
          </w:p>
        </w:tc>
        <w:tc>
          <w:tcPr>
            <w:tcW w:w="170" w:type="dxa"/>
            <w:tcBorders/>
            <w:shd w:fill="FFFFFF" w:val="clear"/>
            <w:vAlign w:val="center"/>
          </w:tcPr>
          <w:p>
            <w:pPr>
              <w:pStyle w:val="TableContents"/>
              <w:bidi w:val="0"/>
              <w:spacing w:before="0" w:after="0"/>
              <w:jc w:val="left"/>
              <w:rPr>
                <w:spacing w:val="0"/>
              </w:rPr>
            </w:pPr>
            <w:r>
              <w:rPr>
                <w:spacing w:val="0"/>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shd w:fill="FFFFFF" w:val="clear"/>
            <w:vAlign w:val="center"/>
          </w:tcPr>
          <w:p>
            <w:pPr>
              <w:pStyle w:val="TableContents"/>
              <w:bidi w:val="0"/>
              <w:spacing w:before="0" w:after="0"/>
              <w:jc w:val="left"/>
              <w:rPr>
                <w:spacing w:val="0"/>
              </w:rPr>
            </w:pPr>
            <w:r>
              <w:rPr>
                <w:spacing w:val="0"/>
              </w:rPr>
              <w:t> </w:t>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shd w:fill="FFFF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shd w:fill="FFFFFF" w:val="clear"/>
            <w:vAlign w:val="center"/>
          </w:tcPr>
          <w:p>
            <w:pPr>
              <w:pStyle w:val="TableContents"/>
              <w:bidi w:val="0"/>
              <w:spacing w:before="0" w:after="0"/>
              <w:jc w:val="left"/>
              <w:rPr>
                <w:spacing w:val="0"/>
              </w:rPr>
            </w:pPr>
            <w:r>
              <w:rPr>
                <w:spacing w:val="0"/>
              </w:rPr>
              <w:t> </w:t>
            </w:r>
          </w:p>
        </w:tc>
      </w:tr>
      <w:tr>
        <w:trPr/>
        <w:tc>
          <w:tcPr>
            <w:tcW w:w="76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end of period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980" w:type="dxa"/>
            <w:tcBorders/>
            <w:shd w:fill="CCEEFF" w:val="clear"/>
            <w:vAlign w:val="center"/>
          </w:tcPr>
          <w:p>
            <w:pPr>
              <w:pStyle w:val="TableContents"/>
              <w:bidi w:val="0"/>
              <w:spacing w:before="0" w:after="0"/>
              <w:jc w:val="right"/>
              <w:rPr>
                <w:spacing w:val="0"/>
              </w:rPr>
            </w:pPr>
            <w:r>
              <w:rPr>
                <w:spacing w:val="0"/>
              </w:rPr>
              <w:t>479,672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875" w:type="dxa"/>
            <w:tcBorders/>
            <w:shd w:fill="CCEEFF" w:val="clear"/>
            <w:vAlign w:val="center"/>
          </w:tcPr>
          <w:p>
            <w:pPr>
              <w:pStyle w:val="TableContents"/>
              <w:bidi w:val="0"/>
              <w:spacing w:before="0" w:after="0"/>
              <w:jc w:val="right"/>
              <w:rPr>
                <w:spacing w:val="0"/>
              </w:rPr>
            </w:pPr>
            <w:r>
              <w:rPr>
                <w:spacing w:val="0"/>
              </w:rPr>
              <w:t>203,077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shd w:fill="FFFFFF" w:val="clear"/>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shd w:fill="FFFFFF" w:val="clear"/>
            <w:vAlign w:val="center"/>
          </w:tcPr>
          <w:p>
            <w:pPr>
              <w:pStyle w:val="TableContents"/>
              <w:bidi w:val="0"/>
              <w:spacing w:before="0" w:after="0"/>
              <w:jc w:val="left"/>
              <w:rPr>
                <w:spacing w:val="0"/>
              </w:rPr>
            </w:pPr>
            <w:r>
              <w:rPr>
                <w:spacing w:val="0"/>
              </w:rPr>
              <w:t> </w:t>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shd w:fill="FFFFFF" w:val="clear"/>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shd w:fill="FFFFFF" w:val="clear"/>
            <w:vAlign w:val="center"/>
          </w:tcPr>
          <w:p>
            <w:pPr>
              <w:pStyle w:val="TableContents"/>
              <w:bidi w:val="0"/>
              <w:spacing w:before="0" w:after="0"/>
              <w:jc w:val="left"/>
              <w:rPr>
                <w:spacing w:val="0"/>
              </w:rPr>
            </w:pPr>
            <w:r>
              <w:rPr>
                <w:spacing w:val="0"/>
              </w:rPr>
              <w:t> </w:t>
            </w:r>
          </w:p>
        </w:tc>
      </w:tr>
      <w:tr>
        <w:trPr/>
        <w:tc>
          <w:tcPr>
            <w:tcW w:w="7600" w:type="dxa"/>
            <w:tcBorders/>
            <w:shd w:fill="FFFF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Cash Equivalents and Restricted Cash are Comprised of:</w:t>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8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r>
      <w:tr>
        <w:trPr/>
        <w:tc>
          <w:tcPr>
            <w:tcW w:w="7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Cash and cash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478,811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202,266</w:t>
            </w:r>
          </w:p>
        </w:tc>
        <w:tc>
          <w:tcPr>
            <w:tcW w:w="170" w:type="dxa"/>
            <w:tcBorders/>
            <w:shd w:fill="CCEE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 and cash equivalents</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861</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811</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479,672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203,077</w:t>
            </w:r>
          </w:p>
        </w:tc>
        <w:tc>
          <w:tcPr>
            <w:tcW w:w="170" w:type="dxa"/>
            <w:tcBorders/>
            <w:shd w:fill="CCEE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8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r>
      <w:tr>
        <w:trPr/>
        <w:tc>
          <w:tcPr>
            <w:tcW w:w="7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during the year for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13,921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5,691</w:t>
            </w:r>
          </w:p>
        </w:tc>
        <w:tc>
          <w:tcPr>
            <w:tcW w:w="170" w:type="dxa"/>
            <w:tcBorders/>
            <w:shd w:fill="CCEE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89</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41</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payable</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5,487</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4,545</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accrued but not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2,952</w:t>
            </w:r>
          </w:p>
        </w:tc>
        <w:tc>
          <w:tcPr>
            <w:tcW w:w="170" w:type="dxa"/>
            <w:tcBorders/>
            <w:shd w:fill="CCEE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 accrued but not yet paid</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6,051</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2,917</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Redemption of convertible promissory note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12,476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13,926</w:t>
            </w:r>
          </w:p>
        </w:tc>
        <w:tc>
          <w:tcPr>
            <w:tcW w:w="170" w:type="dxa"/>
            <w:tcBorders/>
            <w:shd w:fill="CCEE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Non-voting common stock issued in connection with business combinations</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344</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4,305</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arising from obtaining right-of-use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892</w:t>
            </w:r>
          </w:p>
        </w:tc>
        <w:tc>
          <w:tcPr>
            <w:tcW w:w="170" w:type="dxa"/>
            <w:tcBorders/>
            <w:shd w:fill="CCEE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 to common stock in connection with initial public offering</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1,348,809</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Taxes related to net share settlement of restricted stock units not yet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Reclassificiation of deferred offering costs to additional paid-in capital upon initial public offering</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12,347</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Series G-3 Preferred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2,738</w:t>
            </w:r>
          </w:p>
        </w:tc>
        <w:tc>
          <w:tcPr>
            <w:tcW w:w="170" w:type="dxa"/>
            <w:tcBorders/>
            <w:shd w:fill="CCEE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Series G-4 Preferred Stock</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611</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60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condensed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consolidated financial statements.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Tempus AI,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REDEEMABLE CONVERTIBLE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PREFERRED STOCK, COMMON STOCK AND STOCKHOLDERS’ EQUITY (DEFICIT)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ind w:left="0" w:right="0" w:hanging="0"/>
        <w:jc w:val="left"/>
        <w:rPr/>
      </w:pPr>
      <w:r>
        <w:rPr/>
        <w:t> </w:t>
      </w:r>
    </w:p>
    <w:tbl>
      <w:tblPr>
        <w:tblW w:w="19495" w:type="dxa"/>
        <w:jc w:val="left"/>
        <w:tblInd w:w="0" w:type="dxa"/>
        <w:tblLayout w:type="fixed"/>
        <w:tblCellMar>
          <w:top w:w="0" w:type="dxa"/>
          <w:left w:w="0" w:type="dxa"/>
          <w:bottom w:w="0" w:type="dxa"/>
          <w:right w:w="0" w:type="dxa"/>
        </w:tblCellMar>
      </w:tblPr>
      <w:tblGrid>
        <w:gridCol w:w="845"/>
        <w:gridCol w:w="60"/>
        <w:gridCol w:w="60"/>
        <w:gridCol w:w="1175"/>
        <w:gridCol w:w="155"/>
        <w:gridCol w:w="60"/>
        <w:gridCol w:w="140"/>
        <w:gridCol w:w="1055"/>
        <w:gridCol w:w="155"/>
        <w:gridCol w:w="60"/>
        <w:gridCol w:w="60"/>
        <w:gridCol w:w="1220"/>
        <w:gridCol w:w="60"/>
        <w:gridCol w:w="60"/>
        <w:gridCol w:w="301"/>
        <w:gridCol w:w="559"/>
        <w:gridCol w:w="60"/>
        <w:gridCol w:w="60"/>
        <w:gridCol w:w="60"/>
        <w:gridCol w:w="980"/>
        <w:gridCol w:w="60"/>
        <w:gridCol w:w="60"/>
        <w:gridCol w:w="301"/>
        <w:gridCol w:w="559"/>
        <w:gridCol w:w="60"/>
        <w:gridCol w:w="60"/>
        <w:gridCol w:w="60"/>
        <w:gridCol w:w="1055"/>
        <w:gridCol w:w="155"/>
        <w:gridCol w:w="60"/>
        <w:gridCol w:w="301"/>
        <w:gridCol w:w="559"/>
        <w:gridCol w:w="60"/>
        <w:gridCol w:w="60"/>
        <w:gridCol w:w="60"/>
        <w:gridCol w:w="875"/>
        <w:gridCol w:w="155"/>
        <w:gridCol w:w="60"/>
        <w:gridCol w:w="155"/>
        <w:gridCol w:w="705"/>
        <w:gridCol w:w="155"/>
        <w:gridCol w:w="60"/>
        <w:gridCol w:w="140"/>
        <w:gridCol w:w="980"/>
        <w:gridCol w:w="155"/>
        <w:gridCol w:w="60"/>
        <w:gridCol w:w="160"/>
        <w:gridCol w:w="1210"/>
        <w:gridCol w:w="155"/>
        <w:gridCol w:w="60"/>
        <w:gridCol w:w="598"/>
        <w:gridCol w:w="1432"/>
        <w:gridCol w:w="155"/>
        <w:gridCol w:w="60"/>
        <w:gridCol w:w="156"/>
        <w:gridCol w:w="1184"/>
        <w:gridCol w:w="17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645"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w:t>
              <w:br/>
              <w:t>Convertible Preferred</w:t>
              <w:br/>
              <w:t>Stock</w:t>
            </w:r>
          </w:p>
        </w:tc>
        <w:tc>
          <w:tcPr>
            <w:tcW w:w="155" w:type="dxa"/>
            <w:vMerge w:val="restart"/>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40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Voting</w:t>
            </w:r>
          </w:p>
          <w:p>
            <w:pPr>
              <w:pStyle w:val="TableContents"/>
              <w:bidi w:val="0"/>
              <w:spacing w:before="0" w:after="0"/>
              <w:jc w:val="center"/>
              <w:rPr/>
            </w:pPr>
            <w:r>
              <w:rPr/>
            </w:r>
          </w:p>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190"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Non-Voting</w:t>
            </w:r>
          </w:p>
          <w:p>
            <w:pPr>
              <w:pStyle w:val="TableContents"/>
              <w:bidi w:val="0"/>
              <w:spacing w:before="0" w:after="0"/>
              <w:jc w:val="center"/>
              <w:rPr/>
            </w:pPr>
            <w:r>
              <w:rPr/>
            </w:r>
          </w:p>
          <w:p>
            <w:pPr>
              <w:pStyle w:val="TableContents"/>
              <w:bidi w:val="0"/>
              <w:spacing w:before="0" w:after="0"/>
              <w:jc w:val="center"/>
              <w:rPr>
                <w:b/>
                <w:spacing w:val="0"/>
              </w:rPr>
            </w:pPr>
            <w:r>
              <w:rPr>
                <w:b/>
                <w:spacing w:val="0"/>
              </w:rPr>
              <w:t>Common Stock</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10"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3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 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 Income</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vMerge w:val="restart"/>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645" w:type="dxa"/>
            <w:gridSpan w:val="6"/>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190" w:type="dxa"/>
            <w:gridSpan w:val="6"/>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10" w:type="dxa"/>
            <w:gridSpan w:val="6"/>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2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3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2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3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84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63,525,953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1,105,543</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58,367,961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5,205,802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(145,466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18,345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(1,396,917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(1,382,163</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Issuance of Series G-3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66,465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3,809</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Series G-4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10,666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611</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Issuance of Series G-5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3,489,981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199,750</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Common stock issued in connection with business combinations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344</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Dividends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33,669</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(39,347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(39,347</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Issuance of common stock in connection with initial public offering, net of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 xml:space="preserve">offering costs, </w:t>
            </w:r>
          </w:p>
          <w:p>
            <w:pPr>
              <w:pStyle w:val="TableContents"/>
              <w:bidi w:val="0"/>
              <w:spacing w:before="0" w:after="0"/>
              <w:jc w:val="left"/>
              <w:rPr>
                <w:rFonts w:ascii="Times New Roman" w:hAnsi="Times New Roman"/>
                <w:sz w:val="14"/>
              </w:rPr>
            </w:pPr>
            <w:r>
              <w:rPr>
                <w:rFonts w:ascii="Times New Roman" w:hAnsi="Times New Roman"/>
                <w:sz w:val="14"/>
              </w:rPr>
              <w:t xml:space="preserve">underwriting discounts and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c</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om</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missions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369,603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369,604</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Conversion of redeemable convertible preferred stock to common stock in connection with initial public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(67,093,065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(1,343,382</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71,976,178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5,043,789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spacing w:val="0"/>
              </w:rPr>
            </w:pPr>
            <w:r>
              <w:rPr>
                <w:spacing w:val="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1,357,562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(8,761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1,348,809</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Conversion of non-voting common stock to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5,069,477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(5,214,943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0</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upon settlement of restricted stock units,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2,651,848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(70,082</w:t>
            </w:r>
          </w:p>
        </w:tc>
        <w:tc>
          <w:tcPr>
            <w:tcW w:w="170" w:type="dxa"/>
            <w:tcBorders/>
            <w:vAlign w:val="center"/>
          </w:tcPr>
          <w:p>
            <w:pPr>
              <w:pStyle w:val="TableContents"/>
              <w:bidi w:val="0"/>
              <w:spacing w:before="0" w:after="283"/>
              <w:jc w:val="left"/>
              <w:rPr/>
            </w:pPr>
            <w:r>
              <w:rPr/>
              <w:t>)</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upon settlement of warrant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109,459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(173</w:t>
            </w:r>
          </w:p>
        </w:tc>
        <w:tc>
          <w:tcPr>
            <w:tcW w:w="170" w:type="dxa"/>
            <w:tcBorders/>
            <w:shd w:fill="CCEEFF" w:val="clear"/>
            <w:vAlign w:val="center"/>
          </w:tcPr>
          <w:p>
            <w:pPr>
              <w:pStyle w:val="TableContents"/>
              <w:bidi w:val="0"/>
              <w:spacing w:before="0" w:after="283"/>
              <w:jc w:val="left"/>
              <w:rPr/>
            </w:pPr>
            <w:r>
              <w:rPr/>
              <w:t>)</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488,313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488,313</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(99</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(616,955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(616,955</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70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left"/>
              <w:rPr>
                <w:bdr w:val="single" w:sz="2" w:space="1" w:color="000000"/>
              </w:rPr>
            </w:pPr>
            <w:r>
              <w:rPr>
                <w:bdr w:val="single" w:sz="2" w:space="1" w:color="000000"/>
              </w:rPr>
              <w:t> </w:t>
            </w:r>
          </w:p>
        </w:tc>
        <w:tc>
          <w:tcPr>
            <w:tcW w:w="1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149,274,923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5,043,789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(145,466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2,163,911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(2,061,980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98,251</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double" w:sz="6" w:space="1" w:color="000000"/>
              </w:rPr>
            </w:pPr>
            <w:r>
              <w:rPr>
                <w:bdr w:val="double" w:sz="6" w:space="1" w:color="000000"/>
              </w:rPr>
              <w:t> </w:t>
            </w:r>
          </w:p>
        </w:tc>
        <w:tc>
          <w:tcPr>
            <w:tcW w:w="70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left"/>
              <w:rPr>
                <w:bdr w:val="double" w:sz="6" w:space="1" w:color="000000"/>
              </w:rPr>
            </w:pPr>
            <w:r>
              <w:rPr>
                <w:bdr w:val="double" w:sz="6" w:space="1" w:color="000000"/>
              </w:rPr>
              <w:t> </w:t>
            </w:r>
          </w:p>
        </w:tc>
        <w:tc>
          <w:tcPr>
            <w:tcW w:w="143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8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2860" w:type="dxa"/>
            <w:gridSpan w:val="8"/>
            <w:tcBorders/>
            <w:vAlign w:val="center"/>
          </w:tcPr>
          <w:p>
            <w:pPr>
              <w:pStyle w:val="TableContents"/>
              <w:bidi w:val="0"/>
              <w:spacing w:before="0" w:after="283"/>
              <w:jc w:val="left"/>
              <w:rPr>
                <w:sz w:val="4"/>
                <w:szCs w:val="4"/>
              </w:rPr>
            </w:pPr>
            <w:r>
              <w:rPr>
                <w:sz w:val="4"/>
                <w:szCs w:val="4"/>
              </w:rPr>
            </w:r>
          </w:p>
        </w:tc>
        <w:tc>
          <w:tcPr>
            <w:tcW w:w="4520" w:type="dxa"/>
            <w:gridSpan w:val="16"/>
            <w:tcBorders>
              <w:left w:val="single" w:sz="6" w:space="0" w:color="000000"/>
            </w:tcBorders>
            <w:tcMar>
              <w:left w:w="28" w:type="dxa"/>
            </w:tcMar>
            <w:vAlign w:val="center"/>
          </w:tcPr>
          <w:p>
            <w:pPr>
              <w:pStyle w:val="TableContents"/>
              <w:bidi w:val="0"/>
              <w:spacing w:before="0" w:after="283"/>
              <w:jc w:val="left"/>
              <w:rPr/>
            </w:pPr>
            <w:r>
              <w:rPr/>
              <w:t> </w:t>
            </w:r>
          </w:p>
        </w:tc>
        <w:tc>
          <w:tcPr>
            <w:tcW w:w="2310" w:type="dxa"/>
            <w:gridSpan w:val="8"/>
            <w:tcBorders/>
            <w:vAlign w:val="center"/>
          </w:tcPr>
          <w:p>
            <w:pPr>
              <w:pStyle w:val="TableContents"/>
              <w:bidi w:val="0"/>
              <w:spacing w:before="0" w:after="283"/>
              <w:jc w:val="left"/>
              <w:rPr>
                <w:sz w:val="4"/>
                <w:szCs w:val="4"/>
              </w:rPr>
            </w:pPr>
            <w:r>
              <w:rPr>
                <w:sz w:val="4"/>
                <w:szCs w:val="4"/>
              </w:rPr>
            </w:r>
          </w:p>
        </w:tc>
        <w:tc>
          <w:tcPr>
            <w:tcW w:w="2225" w:type="dxa"/>
            <w:gridSpan w:val="8"/>
            <w:tcBorders/>
            <w:vAlign w:val="center"/>
          </w:tcPr>
          <w:p>
            <w:pPr>
              <w:pStyle w:val="TableContents"/>
              <w:bidi w:val="0"/>
              <w:spacing w:before="0" w:after="283"/>
              <w:jc w:val="left"/>
              <w:rPr>
                <w:sz w:val="4"/>
                <w:szCs w:val="4"/>
              </w:rPr>
            </w:pPr>
            <w:r>
              <w:rPr>
                <w:sz w:val="4"/>
                <w:szCs w:val="4"/>
              </w:rPr>
            </w:r>
          </w:p>
        </w:tc>
        <w:tc>
          <w:tcPr>
            <w:tcW w:w="1335"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645"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w:t>
              <w:br/>
              <w:t>Convertible Preferred</w:t>
              <w:br/>
              <w:t>Stock</w:t>
            </w:r>
          </w:p>
        </w:tc>
        <w:tc>
          <w:tcPr>
            <w:tcW w:w="155" w:type="dxa"/>
            <w:vMerge w:val="restart"/>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40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Voting</w:t>
            </w:r>
          </w:p>
          <w:p>
            <w:pPr>
              <w:pStyle w:val="TableContents"/>
              <w:bidi w:val="0"/>
              <w:spacing w:before="0" w:after="0"/>
              <w:jc w:val="center"/>
              <w:rPr/>
            </w:pPr>
            <w:r>
              <w:rPr/>
            </w:r>
          </w:p>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190"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Non-Voting</w:t>
            </w:r>
          </w:p>
          <w:p>
            <w:pPr>
              <w:pStyle w:val="TableContents"/>
              <w:bidi w:val="0"/>
              <w:spacing w:before="0" w:after="0"/>
              <w:jc w:val="center"/>
              <w:rPr/>
            </w:pPr>
            <w:r>
              <w:rPr/>
            </w:r>
          </w:p>
          <w:p>
            <w:pPr>
              <w:pStyle w:val="TableContents"/>
              <w:bidi w:val="0"/>
              <w:spacing w:before="0" w:after="0"/>
              <w:jc w:val="center"/>
              <w:rPr>
                <w:b/>
                <w:spacing w:val="0"/>
              </w:rPr>
            </w:pPr>
            <w:r>
              <w:rPr>
                <w:b/>
                <w:spacing w:val="0"/>
              </w:rPr>
              <w:t>Common Stock</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10"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3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 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 Income</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vMerge w:val="restart"/>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645" w:type="dxa"/>
            <w:gridSpan w:val="6"/>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190" w:type="dxa"/>
            <w:gridSpan w:val="6"/>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10" w:type="dxa"/>
            <w:gridSpan w:val="6"/>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2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3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2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3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84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62,692,927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1,026,143</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58,367,961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4,932,415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(1,138,302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(1,129,027</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Issuance of Series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G-3</w:t>
            </w:r>
          </w:p>
          <w:p>
            <w:pPr>
              <w:pStyle w:val="TableContents"/>
              <w:bidi w:val="0"/>
              <w:spacing w:before="0" w:after="0"/>
              <w:jc w:val="left"/>
              <w:rPr>
                <w:rFonts w:ascii="Times New Roman" w:hAnsi="Times New Roman"/>
                <w:sz w:val="14"/>
              </w:rPr>
            </w:pPr>
            <w:r>
              <w:rPr>
                <w:rFonts w:ascii="Times New Roman" w:hAnsi="Times New Roman"/>
                <w:sz w:val="14"/>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47,781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2,738</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Dividends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13,980</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(21,566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(21,566</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Repurchase of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Non-voting</w:t>
            </w:r>
          </w:p>
          <w:p>
            <w:pPr>
              <w:pStyle w:val="TableContents"/>
              <w:bidi w:val="0"/>
              <w:spacing w:before="0" w:after="0"/>
              <w:jc w:val="left"/>
              <w:rPr>
                <w:rFonts w:ascii="Times New Roman" w:hAnsi="Times New Roman"/>
                <w:sz w:val="14"/>
              </w:rPr>
            </w:pPr>
            <w:r>
              <w:rPr>
                <w:rFonts w:ascii="Times New Roman" w:hAnsi="Times New Roman"/>
                <w:sz w:val="14"/>
              </w:rPr>
              <w:t>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(145,466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(3,602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(3,602</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Common stock issued in connection with business combination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130,874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4,305</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(110,209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(110,209</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70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left"/>
              <w:rPr>
                <w:bdr w:val="single" w:sz="2" w:space="1" w:color="000000"/>
              </w:rPr>
            </w:pPr>
            <w:r>
              <w:rPr>
                <w:bdr w:val="single" w:sz="2" w:space="1" w:color="000000"/>
              </w:rPr>
              <w:t> </w:t>
            </w:r>
          </w:p>
        </w:tc>
        <w:tc>
          <w:tcPr>
            <w:tcW w:w="1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at June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62,740,708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1,042,861</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58,367,961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5,063,289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(145,466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right"/>
              <w:rPr/>
            </w:pPr>
            <w:r>
              <w:rPr/>
              <w:t>(3,602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13,556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(1,270,077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184" w:type="dxa"/>
            <w:tcBorders/>
            <w:vAlign w:val="center"/>
          </w:tcPr>
          <w:p>
            <w:pPr>
              <w:pStyle w:val="TableContents"/>
              <w:bidi w:val="0"/>
              <w:spacing w:before="0" w:after="283"/>
              <w:jc w:val="right"/>
              <w:rPr/>
            </w:pPr>
            <w:r>
              <w:rPr/>
              <w:t>(1,260,074</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double" w:sz="6" w:space="1" w:color="000000"/>
              </w:rPr>
            </w:pPr>
            <w:r>
              <w:rPr>
                <w:bdr w:val="double" w:sz="6" w:space="1" w:color="000000"/>
              </w:rPr>
              <w:t> </w:t>
            </w:r>
          </w:p>
        </w:tc>
        <w:tc>
          <w:tcPr>
            <w:tcW w:w="70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left"/>
              <w:rPr>
                <w:bdr w:val="double" w:sz="6" w:space="1" w:color="000000"/>
              </w:rPr>
            </w:pPr>
            <w:r>
              <w:rPr>
                <w:bdr w:val="double" w:sz="6" w:space="1" w:color="000000"/>
              </w:rPr>
              <w:t> </w:t>
            </w:r>
          </w:p>
        </w:tc>
        <w:tc>
          <w:tcPr>
            <w:tcW w:w="143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8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z w:val="20"/>
        </w:rPr>
      </w:pPr>
      <w:r>
        <w:rPr>
          <w:rFonts w:ascii="Times New Roman" w:hAnsi="Times New Roman"/>
          <w:sz w:val="20"/>
        </w:rPr>
        <w:t xml:space="preserve">The accompanying notes are an integral part of these </w:t>
      </w:r>
    </w:p>
    <w:p>
      <w:pPr>
        <w:pStyle w:val="TextBody"/>
        <w:bidi w:val="0"/>
        <w:spacing w:before="240" w:after="0"/>
        <w:jc w:val="center"/>
        <w:rPr>
          <w:rFonts w:ascii="Times New Roman" w:hAnsi="Times New Roman"/>
          <w:sz w:val="20"/>
        </w:rPr>
      </w:pPr>
      <w:r>
        <w:rPr>
          <w:rFonts w:ascii="Times New Roman" w:hAnsi="Times New Roman"/>
          <w:sz w:val="20"/>
        </w:rPr>
        <w:t>condensed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REDEEMABLE CONVERTIBLE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PREFERRED STOCK, COMMON STOCK AND STOCKHOLDERS’ EQUITY (DEFICIT)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ind w:left="0" w:right="0" w:hanging="0"/>
        <w:jc w:val="left"/>
        <w:rPr/>
      </w:pPr>
      <w:r>
        <w:rPr/>
        <w:t> </w:t>
      </w:r>
    </w:p>
    <w:tbl>
      <w:tblPr>
        <w:tblW w:w="20275" w:type="dxa"/>
        <w:jc w:val="left"/>
        <w:tblInd w:w="0" w:type="dxa"/>
        <w:tblLayout w:type="fixed"/>
        <w:tblCellMar>
          <w:top w:w="0" w:type="dxa"/>
          <w:left w:w="0" w:type="dxa"/>
          <w:bottom w:w="0" w:type="dxa"/>
          <w:right w:w="0" w:type="dxa"/>
        </w:tblCellMar>
      </w:tblPr>
      <w:tblGrid>
        <w:gridCol w:w="1625"/>
        <w:gridCol w:w="60"/>
        <w:gridCol w:w="60"/>
        <w:gridCol w:w="1175"/>
        <w:gridCol w:w="155"/>
        <w:gridCol w:w="60"/>
        <w:gridCol w:w="140"/>
        <w:gridCol w:w="1055"/>
        <w:gridCol w:w="155"/>
        <w:gridCol w:w="60"/>
        <w:gridCol w:w="60"/>
        <w:gridCol w:w="1220"/>
        <w:gridCol w:w="60"/>
        <w:gridCol w:w="60"/>
        <w:gridCol w:w="301"/>
        <w:gridCol w:w="559"/>
        <w:gridCol w:w="60"/>
        <w:gridCol w:w="60"/>
        <w:gridCol w:w="60"/>
        <w:gridCol w:w="980"/>
        <w:gridCol w:w="60"/>
        <w:gridCol w:w="60"/>
        <w:gridCol w:w="301"/>
        <w:gridCol w:w="559"/>
        <w:gridCol w:w="60"/>
        <w:gridCol w:w="60"/>
        <w:gridCol w:w="60"/>
        <w:gridCol w:w="1055"/>
        <w:gridCol w:w="155"/>
        <w:gridCol w:w="60"/>
        <w:gridCol w:w="301"/>
        <w:gridCol w:w="559"/>
        <w:gridCol w:w="60"/>
        <w:gridCol w:w="60"/>
        <w:gridCol w:w="60"/>
        <w:gridCol w:w="875"/>
        <w:gridCol w:w="155"/>
        <w:gridCol w:w="60"/>
        <w:gridCol w:w="155"/>
        <w:gridCol w:w="705"/>
        <w:gridCol w:w="155"/>
        <w:gridCol w:w="60"/>
        <w:gridCol w:w="140"/>
        <w:gridCol w:w="980"/>
        <w:gridCol w:w="155"/>
        <w:gridCol w:w="60"/>
        <w:gridCol w:w="160"/>
        <w:gridCol w:w="1210"/>
        <w:gridCol w:w="155"/>
        <w:gridCol w:w="60"/>
        <w:gridCol w:w="598"/>
        <w:gridCol w:w="1432"/>
        <w:gridCol w:w="155"/>
        <w:gridCol w:w="60"/>
        <w:gridCol w:w="156"/>
        <w:gridCol w:w="1184"/>
        <w:gridCol w:w="170"/>
      </w:tblGrid>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645"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w:t>
              <w:br/>
              <w:t>Convertible Preferred</w:t>
              <w:br/>
              <w:t>Stock</w:t>
            </w:r>
          </w:p>
        </w:tc>
        <w:tc>
          <w:tcPr>
            <w:tcW w:w="155" w:type="dxa"/>
            <w:vMerge w:val="restart"/>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40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Voting</w:t>
            </w:r>
          </w:p>
          <w:p>
            <w:pPr>
              <w:pStyle w:val="TableContents"/>
              <w:bidi w:val="0"/>
              <w:spacing w:before="0" w:after="0"/>
              <w:jc w:val="center"/>
              <w:rPr/>
            </w:pPr>
            <w:r>
              <w:rPr/>
            </w:r>
          </w:p>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190"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Non-Voting</w:t>
            </w:r>
          </w:p>
          <w:p>
            <w:pPr>
              <w:pStyle w:val="TableContents"/>
              <w:bidi w:val="0"/>
              <w:spacing w:before="0" w:after="0"/>
              <w:jc w:val="center"/>
              <w:rPr/>
            </w:pPr>
            <w:r>
              <w:rPr/>
            </w:r>
          </w:p>
          <w:p>
            <w:pPr>
              <w:pStyle w:val="TableContents"/>
              <w:bidi w:val="0"/>
              <w:spacing w:before="0" w:after="0"/>
              <w:jc w:val="center"/>
              <w:rPr>
                <w:b/>
                <w:spacing w:val="0"/>
              </w:rPr>
            </w:pPr>
            <w:r>
              <w:rPr>
                <w:b/>
                <w:spacing w:val="0"/>
              </w:rPr>
              <w:t>Common Stock</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10"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3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 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 Income</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vMerge w:val="restart"/>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645" w:type="dxa"/>
            <w:gridSpan w:val="6"/>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190" w:type="dxa"/>
            <w:gridSpan w:val="6"/>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10" w:type="dxa"/>
            <w:gridSpan w:val="6"/>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2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3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2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3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62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63,603,084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1,134,802</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58,367,961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5,214,943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(145,466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18,689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(1,489,467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(1,474,425</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Issuance of Series G-5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3,489,981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199,750</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8,830</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(11,540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(11,540</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Issuance of common stock in connection with initial public offering, net of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 xml:space="preserve">offering costs, </w:t>
            </w:r>
          </w:p>
          <w:p>
            <w:pPr>
              <w:pStyle w:val="TableContents"/>
              <w:bidi w:val="0"/>
              <w:spacing w:before="0" w:after="0"/>
              <w:jc w:val="left"/>
              <w:rPr>
                <w:rFonts w:ascii="Times New Roman" w:hAnsi="Times New Roman"/>
                <w:sz w:val="14"/>
              </w:rPr>
            </w:pPr>
            <w:r>
              <w:rPr>
                <w:rFonts w:ascii="Times New Roman" w:hAnsi="Times New Roman"/>
                <w:sz w:val="14"/>
              </w:rPr>
              <w:t xml:space="preserve">underwriting discounts and </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commissions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11,100,000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369,603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369,604</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Conversion of redeemable convertible preferred stock to common stock in connection with initial public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(67,093,065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(1,343,382</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71,976,178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5,043,789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1,357,562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(8,761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1,348,809</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Conversion of non-voting common stock to Class A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5,069,477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(5,214,943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0</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upon settlement of restricted stock units,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2,651,848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(70,082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(70,082</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upon settlement of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109,459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(173</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488,313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488,313</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Foreign currency translation 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(43</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(552,212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(552,212</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70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left"/>
              <w:rPr>
                <w:bdr w:val="single" w:sz="2" w:space="1" w:color="000000"/>
              </w:rPr>
            </w:pPr>
            <w:r>
              <w:rPr>
                <w:bdr w:val="single" w:sz="2" w:space="1" w:color="000000"/>
              </w:rPr>
              <w:t> </w:t>
            </w:r>
          </w:p>
        </w:tc>
        <w:tc>
          <w:tcPr>
            <w:tcW w:w="1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at 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149,274,923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5,043,789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(145,466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right"/>
              <w:rPr/>
            </w:pPr>
            <w:r>
              <w:rPr/>
              <w:t>(3,602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2,163,911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(2,061,980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184" w:type="dxa"/>
            <w:tcBorders/>
            <w:vAlign w:val="center"/>
          </w:tcPr>
          <w:p>
            <w:pPr>
              <w:pStyle w:val="TableContents"/>
              <w:bidi w:val="0"/>
              <w:spacing w:before="0" w:after="283"/>
              <w:jc w:val="right"/>
              <w:rPr/>
            </w:pPr>
            <w:r>
              <w:rPr/>
              <w:t>98,251</w:t>
            </w:r>
          </w:p>
        </w:tc>
        <w:tc>
          <w:tcPr>
            <w:tcW w:w="1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double" w:sz="6" w:space="1" w:color="000000"/>
              </w:rPr>
            </w:pPr>
            <w:r>
              <w:rPr>
                <w:bdr w:val="double" w:sz="6" w:space="1" w:color="000000"/>
              </w:rPr>
              <w:t> </w:t>
            </w:r>
          </w:p>
        </w:tc>
        <w:tc>
          <w:tcPr>
            <w:tcW w:w="70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left"/>
              <w:rPr>
                <w:bdr w:val="double" w:sz="6" w:space="1" w:color="000000"/>
              </w:rPr>
            </w:pPr>
            <w:r>
              <w:rPr>
                <w:bdr w:val="double" w:sz="6" w:space="1" w:color="000000"/>
              </w:rPr>
              <w:t> </w:t>
            </w:r>
          </w:p>
        </w:tc>
        <w:tc>
          <w:tcPr>
            <w:tcW w:w="143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8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2860" w:type="dxa"/>
            <w:gridSpan w:val="8"/>
            <w:tcBorders/>
            <w:vAlign w:val="center"/>
          </w:tcPr>
          <w:p>
            <w:pPr>
              <w:pStyle w:val="TableContents"/>
              <w:bidi w:val="0"/>
              <w:spacing w:before="0" w:after="283"/>
              <w:jc w:val="left"/>
              <w:rPr>
                <w:sz w:val="4"/>
                <w:szCs w:val="4"/>
              </w:rPr>
            </w:pPr>
            <w:r>
              <w:rPr>
                <w:sz w:val="4"/>
                <w:szCs w:val="4"/>
              </w:rPr>
            </w:r>
          </w:p>
        </w:tc>
        <w:tc>
          <w:tcPr>
            <w:tcW w:w="4520" w:type="dxa"/>
            <w:gridSpan w:val="16"/>
            <w:tcBorders>
              <w:left w:val="single" w:sz="6" w:space="0" w:color="000000"/>
            </w:tcBorders>
            <w:tcMar>
              <w:left w:w="28" w:type="dxa"/>
            </w:tcMar>
            <w:vAlign w:val="center"/>
          </w:tcPr>
          <w:p>
            <w:pPr>
              <w:pStyle w:val="TableContents"/>
              <w:bidi w:val="0"/>
              <w:spacing w:before="0" w:after="283"/>
              <w:jc w:val="left"/>
              <w:rPr/>
            </w:pPr>
            <w:r>
              <w:rPr/>
              <w:t> </w:t>
            </w:r>
          </w:p>
        </w:tc>
        <w:tc>
          <w:tcPr>
            <w:tcW w:w="2310" w:type="dxa"/>
            <w:gridSpan w:val="8"/>
            <w:tcBorders/>
            <w:vAlign w:val="center"/>
          </w:tcPr>
          <w:p>
            <w:pPr>
              <w:pStyle w:val="TableContents"/>
              <w:bidi w:val="0"/>
              <w:spacing w:before="0" w:after="283"/>
              <w:jc w:val="left"/>
              <w:rPr>
                <w:sz w:val="4"/>
                <w:szCs w:val="4"/>
              </w:rPr>
            </w:pPr>
            <w:r>
              <w:rPr>
                <w:sz w:val="4"/>
                <w:szCs w:val="4"/>
              </w:rPr>
            </w:r>
          </w:p>
        </w:tc>
        <w:tc>
          <w:tcPr>
            <w:tcW w:w="2225" w:type="dxa"/>
            <w:gridSpan w:val="8"/>
            <w:tcBorders/>
            <w:vAlign w:val="center"/>
          </w:tcPr>
          <w:p>
            <w:pPr>
              <w:pStyle w:val="TableContents"/>
              <w:bidi w:val="0"/>
              <w:spacing w:before="0" w:after="283"/>
              <w:jc w:val="left"/>
              <w:rPr>
                <w:sz w:val="4"/>
                <w:szCs w:val="4"/>
              </w:rPr>
            </w:pPr>
            <w:r>
              <w:rPr>
                <w:sz w:val="4"/>
                <w:szCs w:val="4"/>
              </w:rPr>
            </w:r>
          </w:p>
        </w:tc>
        <w:tc>
          <w:tcPr>
            <w:tcW w:w="1335"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645"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w:t>
              <w:br/>
              <w:t>Convertible Preferred</w:t>
              <w:br/>
              <w:t>Stock</w:t>
            </w:r>
          </w:p>
        </w:tc>
        <w:tc>
          <w:tcPr>
            <w:tcW w:w="155" w:type="dxa"/>
            <w:vMerge w:val="restart"/>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40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Voting</w:t>
            </w:r>
          </w:p>
          <w:p>
            <w:pPr>
              <w:pStyle w:val="TableContents"/>
              <w:bidi w:val="0"/>
              <w:spacing w:before="0" w:after="0"/>
              <w:jc w:val="center"/>
              <w:rPr/>
            </w:pPr>
            <w:r>
              <w:rPr/>
            </w:r>
          </w:p>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190"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Non-Voting</w:t>
            </w:r>
          </w:p>
          <w:p>
            <w:pPr>
              <w:pStyle w:val="TableContents"/>
              <w:bidi w:val="0"/>
              <w:spacing w:before="0" w:after="0"/>
              <w:jc w:val="center"/>
              <w:rPr/>
            </w:pPr>
            <w:r>
              <w:rPr/>
            </w:r>
          </w:p>
          <w:p>
            <w:pPr>
              <w:pStyle w:val="TableContents"/>
              <w:bidi w:val="0"/>
              <w:spacing w:before="0" w:after="0"/>
              <w:jc w:val="center"/>
              <w:rPr>
                <w:b/>
                <w:spacing w:val="0"/>
              </w:rPr>
            </w:pPr>
            <w:r>
              <w:rPr>
                <w:b/>
                <w:spacing w:val="0"/>
              </w:rPr>
              <w:t>Common Stock</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10"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3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 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 Income</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vMerge w:val="restart"/>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645" w:type="dxa"/>
            <w:gridSpan w:val="6"/>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190" w:type="dxa"/>
            <w:gridSpan w:val="6"/>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10" w:type="dxa"/>
            <w:gridSpan w:val="6"/>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2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3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2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3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62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62,740,708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1,034,321</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58,367,961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5,063,289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(145,466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(1,203,348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(1,193,398</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Foreign currency translation 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53</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8,540</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(10,897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(10,897</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(55,832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(55,832</w:t>
            </w:r>
          </w:p>
        </w:tc>
        <w:tc>
          <w:tcPr>
            <w:tcW w:w="1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2" w:space="1" w:color="000000"/>
              </w:rPr>
            </w:pPr>
            <w:r>
              <w:rPr>
                <w:bdr w:val="single" w:sz="2" w:space="1" w:color="000000"/>
              </w:rPr>
              <w:t> </w:t>
            </w:r>
          </w:p>
        </w:tc>
        <w:tc>
          <w:tcPr>
            <w:tcW w:w="70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left"/>
              <w:rPr>
                <w:bdr w:val="single" w:sz="2" w:space="1" w:color="000000"/>
              </w:rPr>
            </w:pPr>
            <w:r>
              <w:rPr>
                <w:bdr w:val="single" w:sz="2" w:space="1" w:color="000000"/>
              </w:rPr>
              <w:t> </w:t>
            </w:r>
          </w:p>
        </w:tc>
        <w:tc>
          <w:tcPr>
            <w:tcW w:w="1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at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62,740,708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1,042,861</w:t>
            </w:r>
          </w:p>
        </w:tc>
        <w:tc>
          <w:tcPr>
            <w:tcW w:w="155" w:type="dxa"/>
            <w:tcBorders/>
            <w:shd w:fill="CCEEFF" w:val="clear"/>
            <w:vAlign w:val="center"/>
          </w:tcPr>
          <w:p>
            <w:pPr>
              <w:pStyle w:val="TableContents"/>
              <w:bidi w:val="0"/>
              <w:spacing w:before="0" w:after="283"/>
              <w:jc w:val="left"/>
              <w:rPr/>
            </w:pPr>
            <w:r>
              <w:rPr/>
              <w:t> </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58,367,961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5,063,289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(145,466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13,556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(1,270,077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(1,260,074</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double" w:sz="6" w:space="1" w:color="000000"/>
              </w:rPr>
            </w:pPr>
            <w:r>
              <w:rPr>
                <w:bdr w:val="double" w:sz="6" w:space="1" w:color="000000"/>
              </w:rPr>
              <w:t> </w:t>
            </w:r>
          </w:p>
        </w:tc>
        <w:tc>
          <w:tcPr>
            <w:tcW w:w="70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left"/>
              <w:rPr>
                <w:bdr w:val="double" w:sz="6" w:space="1" w:color="000000"/>
              </w:rPr>
            </w:pPr>
            <w:r>
              <w:rPr>
                <w:bdr w:val="double" w:sz="6" w:space="1" w:color="000000"/>
              </w:rPr>
              <w:t> </w:t>
            </w:r>
          </w:p>
        </w:tc>
        <w:tc>
          <w:tcPr>
            <w:tcW w:w="143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8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z w:val="20"/>
        </w:rPr>
      </w:pPr>
      <w:r>
        <w:rPr>
          <w:rFonts w:ascii="Times New Roman" w:hAnsi="Times New Roman"/>
          <w:sz w:val="20"/>
        </w:rPr>
        <w:t xml:space="preserve">The accompanying notes are an integral part of these </w:t>
      </w:r>
    </w:p>
    <w:p>
      <w:pPr>
        <w:pStyle w:val="TextBody"/>
        <w:bidi w:val="0"/>
        <w:spacing w:before="240" w:after="0"/>
        <w:jc w:val="center"/>
        <w:rPr>
          <w:rFonts w:ascii="Times New Roman" w:hAnsi="Times New Roman"/>
          <w:sz w:val="20"/>
        </w:rPr>
      </w:pPr>
      <w:r>
        <w:rPr>
          <w:rFonts w:ascii="Times New Roman" w:hAnsi="Times New Roman"/>
          <w:sz w:val="20"/>
        </w:rPr>
        <w:t>condensed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hd w:fill="FFFFFF" w:val="clear"/>
        </w:rPr>
      </w:pPr>
      <w:r>
        <w:rPr>
          <w:shd w:fill="FFFFFF" w:val="clear"/>
        </w:rPr>
        <w:t> </w:t>
      </w:r>
    </w:p>
    <w:tbl>
      <w:tblPr>
        <w:tblW w:w="2920" w:type="dxa"/>
        <w:jc w:val="left"/>
        <w:tblInd w:w="0" w:type="dxa"/>
        <w:tblLayout w:type="fixed"/>
        <w:tblCellMar>
          <w:top w:w="0" w:type="dxa"/>
          <w:left w:w="0" w:type="dxa"/>
          <w:bottom w:w="0" w:type="dxa"/>
          <w:right w:w="0" w:type="dxa"/>
        </w:tblCellMar>
      </w:tblPr>
      <w:tblGrid>
        <w:gridCol w:w="215"/>
        <w:gridCol w:w="2705"/>
      </w:tblGrid>
      <w:tr>
        <w:trPr/>
        <w:tc>
          <w:tcPr>
            <w:tcW w:w="215" w:type="dxa"/>
            <w:tcBorders/>
            <w:vAlign w:val="center"/>
          </w:tcPr>
          <w:p>
            <w:pPr>
              <w:pStyle w:val="TableContents"/>
              <w:bidi w:val="0"/>
              <w:spacing w:before="0" w:after="0"/>
              <w:jc w:val="left"/>
              <w:rPr>
                <w:b/>
                <w:spacing w:val="0"/>
              </w:rPr>
            </w:pPr>
            <w:r>
              <w:rPr>
                <w:b/>
                <w:spacing w:val="0"/>
              </w:rPr>
              <w:t>1.</w:t>
            </w:r>
          </w:p>
        </w:tc>
        <w:tc>
          <w:tcPr>
            <w:tcW w:w="27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BUSINESS </w:t>
            </w:r>
          </w:p>
        </w:tc>
      </w:tr>
    </w:tbl>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Company Information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Initial Public Offering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On June 13, 2024, the Company’s</w:t>
      </w:r>
    </w:p>
    <w:p>
      <w:pPr>
        <w:pStyle w:val="TextBody"/>
        <w:bidi w:val="0"/>
        <w:spacing w:before="120" w:after="0"/>
        <w:ind w:left="0" w:right="0" w:hanging="0"/>
        <w:jc w:val="left"/>
        <w:rPr>
          <w:spacing w:val="0"/>
          <w:shd w:fill="FFFFFF" w:val="clear"/>
        </w:rPr>
      </w:pPr>
      <w:r>
        <w:rPr>
          <w:spacing w:val="0"/>
          <w:shd w:fill="FFFFFF" w:val="clear"/>
        </w:rPr>
        <w:t> </w:t>
      </w:r>
      <w:r>
        <w:rPr>
          <w:rFonts w:ascii="Times New Roman" w:hAnsi="Times New Roman"/>
          <w:spacing w:val="0"/>
          <w:sz w:val="20"/>
          <w:shd w:fill="FFFFFF" w:val="clear"/>
        </w:rPr>
        <w:t>registration statement relating to its</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initial public offering (the “IPO”) was declared effective and its Class A common stock began trading on the Nasdaq Global Select Market on June 14, 2024. On June 17, 2024, the Company completed its IPO in which it issued and sold 11,100,000 shares of Class A common stock, at a public offering price of $37.00 per share. The Company received net proceeds of $382.0 million after deducting underwriting discounts and </w:t>
      </w:r>
    </w:p>
    <w:p>
      <w:pPr>
        <w:pStyle w:val="TextBody"/>
        <w:bidi w:val="0"/>
        <w:spacing w:before="12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commissions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 $28.7 million.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connection with the closing of the IPO, all shares of the Company’s then-outstanding redeemable convertible preferred stock, other than the Company’s Series B redeemable convertible preferred stock, converted into an aggregate of</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66,309,550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shares of Class A common stock. The Company’s Series B redeemable convertible preferred stock converted on a one-for-one basis into an aggregate of</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5,374,899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shares of Class B common stock. Subsequently,</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331,110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shares of Class B common stock were automatically converted into shares of Class A common stock, such that there are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5,043,789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shares of Class B common stock outstanding immediately following the IPO. The Company issued an additional</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236,719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Class A common stock pursuant to a separate agreement with an investor in the Series G-3 convertible preferred stock.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As of June 16, 2024, the Company’s redeemable convertible preferred stock had accrued $188.2 million of unpaid dividends, which were paid in 5,098,799 shares of Class A common stock at the closing of the IPO.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Outstanding shares of non-voting common stock were converted on a one-for-one basis into 5,069,477 shares of Class A common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The restricted stock units (“RSUs”) granted to employees pursuant to the Company’s 2015 Plan are subject to two vesting conditions. The first is a time-based component. The second vesting condition is the occurrence of a liquidity event. The liquidity event condition related to these awards was satisfied upon the IPO and, as a result, the Company recognized $488.3 million of stock-based compensation expense</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for the six months ended June 30, 2024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 In connection with the IPO, the Company settled an aggregate of 4,568,291 fully vested RSUs (the “IPO Settled RSUs”). To meet the related tax withholding requirements, the Company withheld 1,911,316 shares from the 4,563,164 shares of Class A common stock issuable upon settlement of the IPO Settled RSUs. Based on the public offering price of $37.00 per share, the tax withholding obligation was $70.8 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issued 109,459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Class A common stock upon the automatic net exercise of a warrant issued to Allen &amp; Company LLC (“Allen”), as further described in Note 8.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connection with the IPO, the Company amended and restated its certificate of incorporation (the “Restated Certificate”), under which authorized capital stock consists of</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1,000,000,000</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Class A common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5,500,000</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Class B common stock, and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20,000,000</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shares of preferred stock.</w:t>
      </w:r>
    </w:p>
    <w:p>
      <w:pPr>
        <w:pStyle w:val="TextBody"/>
        <w:bidi w:val="0"/>
        <w:spacing w:before="0" w:after="0"/>
        <w:ind w:left="0" w:right="0" w:hanging="0"/>
        <w:jc w:val="left"/>
        <w:rPr>
          <w:shd w:fill="FFFFFF" w:val="clear"/>
        </w:rPr>
      </w:pPr>
      <w:r>
        <w:rPr>
          <w:shd w:fill="FFFFFF" w:val="clear"/>
        </w:rPr>
        <w:t> </w:t>
      </w:r>
    </w:p>
    <w:tbl>
      <w:tblPr>
        <w:tblW w:w="5275" w:type="dxa"/>
        <w:jc w:val="left"/>
        <w:tblInd w:w="0" w:type="dxa"/>
        <w:tblLayout w:type="fixed"/>
        <w:tblCellMar>
          <w:top w:w="0" w:type="dxa"/>
          <w:left w:w="0" w:type="dxa"/>
          <w:bottom w:w="0" w:type="dxa"/>
          <w:right w:w="0" w:type="dxa"/>
        </w:tblCellMar>
      </w:tblPr>
      <w:tblGrid>
        <w:gridCol w:w="215"/>
        <w:gridCol w:w="5060"/>
      </w:tblGrid>
      <w:tr>
        <w:trPr/>
        <w:tc>
          <w:tcPr>
            <w:tcW w:w="215" w:type="dxa"/>
            <w:tcBorders/>
            <w:vAlign w:val="center"/>
          </w:tcPr>
          <w:p>
            <w:pPr>
              <w:pStyle w:val="TableContents"/>
              <w:bidi w:val="0"/>
              <w:spacing w:before="0" w:after="0"/>
              <w:jc w:val="left"/>
              <w:rPr>
                <w:b/>
                <w:spacing w:val="0"/>
              </w:rPr>
            </w:pPr>
            <w:r>
              <w:rPr>
                <w:b/>
                <w:spacing w:val="0"/>
              </w:rPr>
              <w:t>2.</w:t>
            </w:r>
          </w:p>
        </w:tc>
        <w:tc>
          <w:tcPr>
            <w:tcW w:w="5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Principles of Consolidation and Basis of Presentation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condensed consolidated financial statements include the accounts of Tempus AI, Inc. and its wholly owned subsidiaries. All intercompany accounts and transactions have been eliminated in consolidation. The condensed consolidated financial statements and accompanying notes were prepared in accordance with accounting principles generally accepted in the United States of America (“GAAP”) and applicable rules and regulations of the U.S. Securities and Exchange Commission (the “SEC”) regarding interim financial information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Certain information and disclosures normally included in the annual consolidated financial statements prepared in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accordance with GAAP have been omitted. Accordingly, the unaudited interim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condensed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consolidated financial statements should be read in conjunction with the audited consolidated financial statements and notes included in the Company’s final prospectus, dated June 13, 2024, filed with the SEC pursuant to Rule 424(b) under the Securities Act of 1933, as amended (the “Securities Act”), on June 17, 2024 (the “Prospectus”) in connection with the IPO. The unaudited interim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conde</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nsed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consolidated financial statements have been prepared on the same basis as the audited consolidated financial statements and reflect, in management’s opinion,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the opinion of the Company, the accompanying unaudited condensed consolidated financial statements contain all adjustments, consisting of only normal recurring adjustments, necessary for a fair statement of its financial position as of June 30, 2024 and its results of operations for the three and six months ended June 30, 2024 and 2023, and cash flows for the six months ended June 30, 2024 and 2023. The condensed consolidated balance sheet at December 31, 2023, was derived from audited annual financial statements but does not contain all of the footnote disclosures from the annual financial statements.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believes that its existing cash and cash equivalents and marketable equity securities at June 30, 2024 will be sufficient to allow the Company to fund its current operating plan through at least a period of one year from the date of issuance.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Other than described below, there have been no changes to the Company’s significant accounting policies described in the “Notes to the Consolidated Financial Statements” included in the Company’s audited consolidated financial statements as of and for the year ended December 31, 2023 included in the Prospectus that have had a material impact on the Company’s consolidated financial statements and accompanying notes.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Reclassification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Certain prior year amounts have been reclassified for consistency with the current year presentation.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Emerging Growth Company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non-emerging</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condensed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Use of Estimates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preparation of the unaudited condensed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condensed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Net Loss Per Share Attributable to Common Stockholders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Basic and diluted net loss per share attributable to common stockholders is presented in conformity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with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two-class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method required for participating securities. The Company considers all series of its redeemable convertible preferred stock to be participating securities. Prior to the IPO, under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two-class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method, the net loss attributable to common stockholders was not allocated to the redeemable convertible preferred stock as the holders of its redeemable convertible preferred stock did not have a contractual obligation to share in the Company’s losses. Upon IPO, the Company’s redeemable convertible preferred stock converted to either Class A or Class B common stock and therefore will be included in allocation of net loss attributable to common stockholders as they will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Deferred Offering Costs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Deferred offering costs consist primarily of accounting, legal, and other fees related to the IPO. The Company had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7.1</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 of deferred offering costs as of December 31, 2023. Prior to the IPO, deferred offering costs were capitalized on the consolidated balance sheets. Upon the consummation of the IPO,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12.3</w:t>
      </w:r>
    </w:p>
    <w:p>
      <w:pPr>
        <w:pStyle w:val="TextBody"/>
        <w:bidi w:val="0"/>
        <w:spacing w:before="120" w:after="0"/>
        <w:jc w:val="left"/>
        <w:rPr>
          <w:spacing w:val="0"/>
          <w:shd w:fill="FFFFFF" w:val="clear"/>
        </w:rPr>
      </w:pPr>
      <w:r>
        <w:rPr>
          <w:spacing w:val="0"/>
          <w:shd w:fill="FFFFFF" w:val="clear"/>
        </w:rPr>
        <w:t> </w:t>
      </w:r>
      <w:r>
        <w:rPr>
          <w:rFonts w:ascii="Times New Roman" w:hAnsi="Times New Roman"/>
          <w:spacing w:val="0"/>
          <w:sz w:val="20"/>
          <w:shd w:fill="FFFFFF" w:val="clear"/>
        </w:rPr>
        <w:t xml:space="preserve">million of deferred offering costs were reclassified into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capital as an offset against IPO proceeds.</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Recently Issued Accounting Pronouncements Not Yet Adopted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November 2023, the FASB issued ASU No. 2023-07, Segment Reporting (Topic 280), which provides enhanced disclosures about significant segment expenses. The standard also enhances interim disclosure requirements and provides new segment disclosure requirements for entities with a single reportable segment. The standard is effective for public companies for fiscal years beginning after December 15, 2023, and interim periods within fiscal years beginning after December 15, 2024. Retrospective adoption is required for all prior periods presented. Early adoption is permitted. The Company is currently evaluating the effect that this guidance will have on the consolidated financial statements and related disclosures.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December 2023,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Income Taxes (Topic 740): Improvements to Income Tax Disclosures, which requires public entities, on an annual basis, to provide disclosure of specific categories in the rate reconciliation, as well as disclosure of income taxes paid disaggregated by jurisdiction.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is effective for fiscal years beginning after December 15, 2024, with early adoption permitted. The Company is currently evaluating the effect that this guidance will have on the consolidated financial statements and related disclosures.</w:t>
      </w:r>
    </w:p>
    <w:p>
      <w:pPr>
        <w:pStyle w:val="TextBody"/>
        <w:bidi w:val="0"/>
        <w:spacing w:before="0" w:after="0"/>
        <w:ind w:left="0" w:right="0" w:hanging="0"/>
        <w:jc w:val="left"/>
        <w:rPr>
          <w:sz w:val="12"/>
        </w:rPr>
      </w:pPr>
      <w:r>
        <w:rPr>
          <w:sz w:val="12"/>
        </w:rPr>
      </w:r>
    </w:p>
    <w:p>
      <w:pPr>
        <w:pStyle w:val="TextBody"/>
        <w:bidi w:val="0"/>
        <w:spacing w:before="0" w:after="0"/>
        <w:ind w:left="0" w:right="0" w:hanging="0"/>
        <w:jc w:val="left"/>
        <w:rPr>
          <w:sz w:val="16"/>
        </w:rPr>
      </w:pPr>
      <w:r>
        <w:rPr>
          <w:sz w:val="16"/>
        </w:rPr>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tbl>
      <w:tblPr>
        <w:tblW w:w="2695" w:type="dxa"/>
        <w:jc w:val="left"/>
        <w:tblInd w:w="0" w:type="dxa"/>
        <w:tblLayout w:type="fixed"/>
        <w:tblCellMar>
          <w:top w:w="0" w:type="dxa"/>
          <w:left w:w="0" w:type="dxa"/>
          <w:bottom w:w="0" w:type="dxa"/>
          <w:right w:w="0" w:type="dxa"/>
        </w:tblCellMar>
      </w:tblPr>
      <w:tblGrid>
        <w:gridCol w:w="215"/>
        <w:gridCol w:w="2480"/>
      </w:tblGrid>
      <w:tr>
        <w:trPr/>
        <w:tc>
          <w:tcPr>
            <w:tcW w:w="215" w:type="dxa"/>
            <w:tcBorders/>
            <w:vAlign w:val="center"/>
          </w:tcPr>
          <w:p>
            <w:pPr>
              <w:pStyle w:val="TableContents"/>
              <w:bidi w:val="0"/>
              <w:spacing w:before="0" w:after="0"/>
              <w:jc w:val="left"/>
              <w:rPr>
                <w:b/>
                <w:spacing w:val="0"/>
              </w:rPr>
            </w:pPr>
            <w:r>
              <w:rPr>
                <w:b/>
                <w:spacing w:val="0"/>
              </w:rPr>
              <w:t>3.</w:t>
            </w:r>
          </w:p>
        </w:tc>
        <w:tc>
          <w:tcPr>
            <w:tcW w:w="24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REVENUE RECOGNITION </w:t>
            </w:r>
          </w:p>
        </w:tc>
      </w:tr>
    </w:tbl>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derives revenue from selling lab services (“Genomics”) to physicians, academic research institutions, and other parties. The Company also derives revenue from the commercialization of data generated in the lab (“Data and services”) through the licensing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de-identified</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datasets to third parties and by providing clinical trial support, such as matching patients to clinical trials enrolled in its clinical trial network, and related services. The majority of the Company’s revenue is generated in North America.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accounts for revenue in accordance with Financial Accounting Standards Board (“FASB”) ASC 606 </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Revenue from Contracts with Customers</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(“ASC 606”). The Company commences revenue recognition when control of these products is transferred to customers in an amount that 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 </w:t>
      </w:r>
    </w:p>
    <w:p>
      <w:pPr>
        <w:pStyle w:val="TextBody"/>
        <w:bidi w:val="0"/>
        <w:spacing w:before="360" w:after="0"/>
        <w:ind w:left="0" w:right="0" w:hanging="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Disaggregation of Revenue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provides disaggregation of revenue based on Genomics and Data and services on the condensed consolidated statements of operations and comprehensive loss, as it believes these best depict how the nature, amount, timing and uncertainty of revenue and cash flows are affected by economic factors.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Genomics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$112.3 million and $91.9 million for the three months ended June 30, 2024 and 2023, respectively. The Company recognized Genomics revenue of $214.9 million and $174.0 million for the six months ended June 30, 2024 and 2023, respectively.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the Company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payer, generally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30-120</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days from date of service. While management believes that the estimates are accurate, actual results could differ and the potential impact on the financial statements could be significant. The Company recognized revenue for clinical orders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$101.7 million and $84.4 million for the three months ended June 30, 2024 and 2023, respectively. The Company recognized revenue for clinical orders of $195.1 million and $156.9 million for the six months ended June 30, 2024 and 2023,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$10.6 million and $7.5 million for the three months ended June 30, 2024 and 2023, respectively</w:t>
      </w:r>
    </w:p>
    <w:p>
      <w:pPr>
        <w:pStyle w:val="TextBody"/>
        <w:bidi w:val="0"/>
        <w:spacing w:before="240" w:after="0"/>
        <w:jc w:val="left"/>
        <w:rPr>
          <w:spacing w:val="0"/>
          <w:shd w:fill="FFFFFF" w:val="clear"/>
        </w:rPr>
      </w:pPr>
      <w:r>
        <w:rPr>
          <w:spacing w:val="0"/>
          <w:shd w:fill="FFFFFF" w:val="clear"/>
        </w:rPr>
        <w:t> </w:t>
      </w:r>
      <w:r>
        <w:rPr>
          <w:rFonts w:ascii="Times New Roman" w:hAnsi="Times New Roman"/>
          <w:spacing w:val="0"/>
          <w:sz w:val="20"/>
          <w:shd w:fill="FFFFFF" w:val="clear"/>
        </w:rPr>
        <w:t>and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$19.8 million and $17.1 million for the six months ended June 30, 2024 and 2023,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Data and services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opt-in</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The Company’s two product offerings are as follows: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Insights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Company’s Insights product consists primarily of licensing and analysis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de-identified</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records. Each Insights contract is unique and may include multiple promises, including the delivery of licensed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de-identified</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has determined that the delivery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de-identified</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records and, when applicable, analytical services, and access to its enhanced Lens application are separate and distinct performance obligations. The primary Insights contract types are as follows: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Data licensing on a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one-time</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or limited duration basis</w:t>
            </w:r>
          </w:p>
          <w:p>
            <w:pPr>
              <w:pStyle w:val="TableContents"/>
              <w:bidi w:val="0"/>
              <w:spacing w:before="0" w:after="0"/>
              <w:jc w:val="left"/>
              <w:rPr/>
            </w:pPr>
            <w:r>
              <w:rPr/>
              <w:t xml:space="preserve">– </w:t>
            </w:r>
            <w:r>
              <w:rPr>
                <w:rFonts w:ascii="Times New Roman" w:hAnsi="Times New Roman"/>
                <w:sz w:val="20"/>
              </w:rPr>
              <w:t xml:space="preserve">Customer licenses a specific dataset of records, and the Company accounts for 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Multi-year data subscriptions</w:t>
            </w:r>
          </w:p>
          <w:p>
            <w:pPr>
              <w:pStyle w:val="TableContents"/>
              <w:bidi w:val="0"/>
              <w:spacing w:before="0" w:after="0"/>
              <w:jc w:val="left"/>
              <w:rPr/>
            </w:pPr>
            <w:r>
              <w:rPr/>
              <w:t xml:space="preserve">– </w:t>
            </w:r>
            <w:r>
              <w:rPr>
                <w:rFonts w:ascii="Times New Roman" w:hAnsi="Times New Roman"/>
                <w:sz w:val="20"/>
              </w:rPr>
              <w:t xml:space="preserve">Customer licenses an interchangeable maximum number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de-identified</w:t>
            </w:r>
          </w:p>
          <w:p>
            <w:pPr>
              <w:pStyle w:val="TableContents"/>
              <w:bidi w:val="0"/>
              <w:spacing w:before="0" w:after="0"/>
              <w:jc w:val="left"/>
              <w:rPr>
                <w:rFonts w:ascii="Times New Roman" w:hAnsi="Times New Roman"/>
                <w:sz w:val="20"/>
              </w:rPr>
            </w:pPr>
            <w:r>
              <w:rPr>
                <w:rFonts w:ascii="Times New Roman" w:hAnsi="Times New Roman"/>
                <w:sz w:val="20"/>
              </w:rPr>
              <w:t xml:space="preserve">records, and the Company accounts for the service as a right to access license and one performance obligation. Revenue is recognized as access to the dataset is provided, ratably over-time, with the measure of progress time-based.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Analytical services and other services</w:t>
            </w:r>
          </w:p>
          <w:p>
            <w:pPr>
              <w:pStyle w:val="TableContents"/>
              <w:bidi w:val="0"/>
              <w:spacing w:before="0" w:after="0"/>
              <w:jc w:val="left"/>
              <w:rPr/>
            </w:pPr>
            <w:r>
              <w:rPr/>
              <w:t xml:space="preserve">– </w:t>
            </w:r>
            <w:r>
              <w:rPr>
                <w:rFonts w:ascii="Times New Roman" w:hAnsi="Times New Roman"/>
                <w:sz w:val="20"/>
              </w:rPr>
              <w:t xml:space="preserve">Services typically involve data analysis and research performed on behalf of the customer by the Company. The resulting delivery of data, or a report addressing a series of questions and analytical results, is considered a single performance obligation. Revenue is generally recognized upon the delivery of these services, as defined by the contract.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Enhanced Lens application subscription services</w:t>
            </w:r>
          </w:p>
          <w:p>
            <w:pPr>
              <w:pStyle w:val="TableContents"/>
              <w:bidi w:val="0"/>
              <w:spacing w:before="0" w:after="0"/>
              <w:jc w:val="left"/>
              <w:rPr/>
            </w:pPr>
            <w:r>
              <w:rPr/>
              <w:t xml:space="preserve">– </w:t>
            </w:r>
            <w:r>
              <w:rPr>
                <w:rFonts w:ascii="Times New Roman" w:hAnsi="Times New Roman"/>
                <w:sz w:val="20"/>
              </w:rPr>
              <w:t xml:space="preserve">Customer licenses access to the Company’s enhanced Lens application under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software-as-a-service</w:t>
            </w:r>
          </w:p>
          <w:p>
            <w:pPr>
              <w:pStyle w:val="TableContents"/>
              <w:bidi w:val="0"/>
              <w:spacing w:before="0" w:after="0"/>
              <w:jc w:val="left"/>
              <w:rPr>
                <w:rFonts w:ascii="Times New Roman" w:hAnsi="Times New Roman"/>
                <w:sz w:val="20"/>
              </w:rPr>
            </w:pPr>
            <w:r>
              <w:rPr>
                <w:rFonts w:ascii="Times New Roman" w:hAnsi="Times New Roman"/>
                <w:sz w:val="20"/>
              </w:rPr>
              <w:t xml:space="preserve">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The Company recognized revenue from Insights products of $40.7 million and $29.1 million for the three months ended June 30, 2024 and 2023, respectivel</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y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and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$72.0 million and $51.9 million for the six months ended June 30, 2024 and 2023, respectively.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Trials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Company’s Trials product includes TIME clinical trial matching services and other clinical trial services.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addition to TIME, the Company provides other clinical trial services conducting or supporting studies. Tempus Compass LLC, a subsidiary of the Company, is a contract research organization, or CRO, which manages and executes early and late-stage clinical trials, primarily in oncology. Contracts for clinical trial services can take the form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fee-for-service</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or fixed-price contracts.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Fee-for-service</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out-of-pocket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costs.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The Company recognized revenue from Trials products of $10.5 million and $10.6 million for the three months ended June 30, 2024 and 2023, respectively</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and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$21.8 million and $20.9 million for the six months ended June 30, 2024 and 2023,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Insights and Trials arrangements, pricing is fixed and the Company may be compensated through a combination of an upfront payment and performance-based,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non-refundable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non-for-profits,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and researchers of $53.6 million and $40.5 million for the three months ended June 30, 2024 and 2023, respectively</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$96.9 million and $74.1 million for the six months ended June 30, 2024 and 2023,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Multi-year contract performance obligations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limited multi-year contracts that do not contain early termination or customer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opt-in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clauses. These contracts contained defined, noncancelable performance obligations that will be fulfilled in future years. The Company’s remaining performance obligations related to multi-year contracts was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197.3 million as of June 30, 2024, of which the Company expects to recognize approximately 42</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as revenue over the next year, and the remaining 34%, 19%, and 5</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of its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remaining performance obligations as revenue in years two, three, and four,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Contract Assets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June 30, 2024 and December 31, 2023 included contract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 $9.3 million and $2.4 million,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in accordance with ASC 606. The contract asset was initially measured equal to the initial fair value of the warrant liability based on the authoritative guidance under FASB ASC 718 </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Compensation—Stock Compensation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 As revenue is recognized over the period of the contractual commitment of the MSA, the associated contract asset amortization is recorded as reduction of revenue. At each reporting period, the short-term portion of the warrant asset is adjusted based on the financial commitment and reclassified to Prepaid expenses and other current assets.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summarizes the warrant contract asset presentation as of June 30, 2024 and December 31, 2023 (in thousands): </w:t>
      </w:r>
    </w:p>
    <w:p>
      <w:pPr>
        <w:pStyle w:val="TextBody"/>
        <w:bidi w:val="0"/>
        <w:spacing w:before="0" w:after="0"/>
        <w:ind w:left="0" w:right="0" w:hanging="0"/>
        <w:jc w:val="left"/>
        <w:rPr>
          <w:sz w:val="24"/>
        </w:rPr>
      </w:pPr>
      <w:r>
        <w:rPr>
          <w:sz w:val="24"/>
        </w:rPr>
      </w:r>
    </w:p>
    <w:tbl>
      <w:tblPr>
        <w:tblW w:w="7215" w:type="dxa"/>
        <w:jc w:val="left"/>
        <w:tblInd w:w="0" w:type="dxa"/>
        <w:tblLayout w:type="fixed"/>
        <w:tblCellMar>
          <w:top w:w="0" w:type="dxa"/>
          <w:left w:w="0" w:type="dxa"/>
          <w:bottom w:w="0" w:type="dxa"/>
          <w:right w:w="0" w:type="dxa"/>
        </w:tblCellMar>
      </w:tblPr>
      <w:tblGrid>
        <w:gridCol w:w="3470"/>
        <w:gridCol w:w="120"/>
        <w:gridCol w:w="241"/>
        <w:gridCol w:w="1174"/>
        <w:gridCol w:w="60"/>
        <w:gridCol w:w="120"/>
        <w:gridCol w:w="311"/>
        <w:gridCol w:w="1644"/>
        <w:gridCol w:w="75"/>
      </w:tblGrid>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June 30, 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0"/>
              <w:jc w:val="left"/>
              <w:rPr>
                <w:spacing w:val="0"/>
              </w:rPr>
            </w:pPr>
            <w:r>
              <w:rPr>
                <w:spacing w:val="0"/>
              </w:rPr>
              <w:t> </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 </w:t>
            </w:r>
            <w:r>
              <w:rPr/>
              <w:t>4,843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644" w:type="dxa"/>
            <w:tcBorders/>
            <w:shd w:fill="CCEEFF" w:val="clear"/>
            <w:vAlign w:val="center"/>
          </w:tcPr>
          <w:p>
            <w:pPr>
              <w:pStyle w:val="TableContents"/>
              <w:bidi w:val="0"/>
              <w:spacing w:before="0" w:after="283"/>
              <w:jc w:val="right"/>
              <w:rPr/>
            </w:pPr>
            <w:r>
              <w:rPr/>
              <w:t>4,843</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contract asset, less current portion</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19,077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644" w:type="dxa"/>
            <w:tcBorders/>
            <w:vAlign w:val="center"/>
          </w:tcPr>
          <w:p>
            <w:pPr>
              <w:pStyle w:val="TableContents"/>
              <w:bidi w:val="0"/>
              <w:spacing w:before="0" w:after="283"/>
              <w:jc w:val="right"/>
              <w:rPr/>
            </w:pPr>
            <w:r>
              <w:rPr/>
              <w:t>21,499</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0"/>
              <w:jc w:val="left"/>
              <w:rPr>
                <w:bdr w:val="single" w:sz="2" w:space="1" w:color="000000"/>
              </w:rPr>
            </w:pPr>
            <w:r>
              <w:rPr>
                <w:bdr w:val="single" w:sz="2" w:space="1" w:color="000000"/>
              </w:rPr>
              <w:t> </w:t>
            </w:r>
          </w:p>
        </w:tc>
        <w:tc>
          <w:tcPr>
            <w:tcW w:w="164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warrant contract asset</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23,920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644" w:type="dxa"/>
            <w:tcBorders/>
            <w:shd w:fill="CCEEFF" w:val="clear"/>
            <w:vAlign w:val="center"/>
          </w:tcPr>
          <w:p>
            <w:pPr>
              <w:pStyle w:val="TableContents"/>
              <w:bidi w:val="0"/>
              <w:spacing w:before="0" w:after="283"/>
              <w:jc w:val="right"/>
              <w:rPr/>
            </w:pPr>
            <w:r>
              <w:rPr/>
              <w:t> </w:t>
            </w:r>
            <w:r>
              <w:rPr/>
              <w:t>26,342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0"/>
              <w:jc w:val="left"/>
              <w:rPr>
                <w:bdr w:val="double" w:sz="6" w:space="1" w:color="000000"/>
              </w:rPr>
            </w:pPr>
            <w:r>
              <w:rPr>
                <w:bdr w:val="double" w:sz="6" w:space="1" w:color="000000"/>
              </w:rPr>
              <w:t> </w:t>
            </w:r>
          </w:p>
        </w:tc>
        <w:tc>
          <w:tcPr>
            <w:tcW w:w="164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In November 2023, the Company entered into a Commercialization and Reference Laboratory Agreement with Personalis, Inc. (“Personalis”). The Company will pay up to $12.0 million to Personalis over three years as certain milestones are met, $7.0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of which has been paid as of June 30, 2024. These payments are treated as contract assets and amortized into revenue over the life of the contract. In addition, as consideration for the Company’s obligations to Personalis under the Commercialization and Reference Laboratory Agreement, Personalis issued certain warrants to the Company to purchase up to an aggregate of 9,218,800 shares of Personalis’ common stock, up to 4,609,400 of which are exercisable for cash at any time prior to December 31, 2024 at an exercise price of $1.50 per share, and up to 4,609,400 of which are exercisable for cash at any time prior to December 31, 2025 at an exercise price of $2.50 per share. Contract asset balances are offset by deferred revenue generated from issuance of the Personalis warrant asset. As of June 30, 2024 and December 31, 2023, there was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$1.1 million and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$0.1 million, respectively, of net contract assets related to this agreement recorded in Prepaid expenses and other current assets,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Deferred Revenue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Services product offerings and timing of delivery of the Company’s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de-identified</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licensed data and clinical test results. The portion of deferred revenue that is anticipated to be recognized as revenue during the succeeding twelve-month period is recorded as deferred revenue, current and any remaining portion is recorded as deferred revenue,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non-current.</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recognized $39.5 million and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$26.4 million during the six months ended June 30, 2024 and 2023, respectively, that was included in the corresponding deferred revenue balance at the beginning of the periods. </w:t>
      </w:r>
    </w:p>
    <w:p>
      <w:pPr>
        <w:pStyle w:val="TextBody"/>
        <w:bidi w:val="0"/>
        <w:spacing w:before="0" w:after="0"/>
        <w:jc w:val="left"/>
        <w:rPr>
          <w:shd w:fill="FFFFFF" w:val="clear"/>
        </w:rPr>
      </w:pPr>
      <w:r>
        <w:rPr>
          <w:shd w:fill="FFFFFF" w:val="clear"/>
        </w:rPr>
        <w:t> </w:t>
      </w:r>
    </w:p>
    <w:tbl>
      <w:tblPr>
        <w:tblW w:w="2815" w:type="dxa"/>
        <w:jc w:val="left"/>
        <w:tblInd w:w="0" w:type="dxa"/>
        <w:tblLayout w:type="fixed"/>
        <w:tblCellMar>
          <w:top w:w="0" w:type="dxa"/>
          <w:left w:w="0" w:type="dxa"/>
          <w:bottom w:w="0" w:type="dxa"/>
          <w:right w:w="0" w:type="dxa"/>
        </w:tblCellMar>
      </w:tblPr>
      <w:tblGrid>
        <w:gridCol w:w="215"/>
        <w:gridCol w:w="2600"/>
      </w:tblGrid>
      <w:tr>
        <w:trPr/>
        <w:tc>
          <w:tcPr>
            <w:tcW w:w="215" w:type="dxa"/>
            <w:tcBorders/>
            <w:vAlign w:val="center"/>
          </w:tcPr>
          <w:p>
            <w:pPr>
              <w:pStyle w:val="TableContents"/>
              <w:bidi w:val="0"/>
              <w:spacing w:before="0" w:after="0"/>
              <w:jc w:val="left"/>
              <w:rPr>
                <w:b/>
                <w:spacing w:val="0"/>
              </w:rPr>
            </w:pPr>
            <w:r>
              <w:rPr>
                <w:b/>
                <w:spacing w:val="0"/>
              </w:rPr>
              <w:t>4.</w:t>
            </w:r>
          </w:p>
        </w:tc>
        <w:tc>
          <w:tcPr>
            <w:tcW w:w="26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COMBINATIONS </w:t>
            </w:r>
          </w:p>
        </w:tc>
      </w:tr>
    </w:tbl>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SEngine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acquisition resulted in goodwill of $9.6 million. The aggregate acquisition date fair value of consideration for the SEngine acquisition totaled $9.9 million. Consideration </w:t>
      </w:r>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consisted</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of $2.8 million of cash and $6.3 million of </w:t>
      </w:r>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common stock. The transaction also includes contingent consideration of up to 35,000 additional shares of </w:t>
      </w:r>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common stock if a liquidity event is completed prior to December 31, 2027. The contingent consideration liability is remeasured at fair value in each period following the closing within selling, general and administrative expense. In accordance with the terms of the agreement, $1.4 million in equity was held back and is payable on October 3, 2024, which is net of a net working capital adjustment less than $0.1 million. The Company issued 429 shares of </w:t>
      </w:r>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common stock to the selling corporation in February 2024 related to the net working capital adjustment.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Mpirik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common stock to Mpirik shareholders in March 2024.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Cash consideration of $4.7 million is net of a $0.3 million net working capital adjustment. In accordance with the terms of the agreement, the securityholders of the acquired business w</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ere</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entitled to receive contingent consideration from the Company payable in an aggregate value of $1.0 million in cash, contingent upon the acquired business reaching a revenue target of $1.5 million for the twelve-month period end</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December 31, 2023. The contingent consideration ha</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an acquisition fair value date of $0.4 million, which the Company recognized within Other current liabilities. The contingent consideration w</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as</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remeasured at fair value in each period following the closing within selling, general and administrative expense. Mpirik did not achieve the revenue target for the twelve-month period end</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December 31, 2023. As such, the contingent consideration liability was written down to $0. In addition, the Company issued 17,450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performance stock units to certain retained Mpirik employees on the closing date of the acquisition. In July 2023, the Company’s board of directors approved the removal of the performance-vesting condition, following which performance stock units are treated as restricted stock units.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Arterys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common stock and $3.0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million of cash. Cash consideration</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of $3.0 million is net of a $1.0 million working capital adjustment paid back to Tempus in March 2023.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tbl>
      <w:tblPr>
        <w:tblW w:w="3370" w:type="dxa"/>
        <w:jc w:val="left"/>
        <w:tblInd w:w="0" w:type="dxa"/>
        <w:tblLayout w:type="fixed"/>
        <w:tblCellMar>
          <w:top w:w="0" w:type="dxa"/>
          <w:left w:w="0" w:type="dxa"/>
          <w:bottom w:w="0" w:type="dxa"/>
          <w:right w:w="0" w:type="dxa"/>
        </w:tblCellMar>
      </w:tblPr>
      <w:tblGrid>
        <w:gridCol w:w="215"/>
        <w:gridCol w:w="3155"/>
      </w:tblGrid>
      <w:tr>
        <w:trPr/>
        <w:tc>
          <w:tcPr>
            <w:tcW w:w="215" w:type="dxa"/>
            <w:tcBorders/>
            <w:vAlign w:val="center"/>
          </w:tcPr>
          <w:p>
            <w:pPr>
              <w:pStyle w:val="TableContents"/>
              <w:bidi w:val="0"/>
              <w:spacing w:before="0" w:after="0"/>
              <w:jc w:val="left"/>
              <w:rPr>
                <w:b/>
                <w:spacing w:val="0"/>
              </w:rPr>
            </w:pPr>
            <w:r>
              <w:rPr>
                <w:b/>
                <w:spacing w:val="0"/>
              </w:rPr>
              <w:t>5.</w:t>
            </w:r>
          </w:p>
        </w:tc>
        <w:tc>
          <w:tcPr>
            <w:tcW w:w="31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BALANCE SHEET COMPONENTS </w:t>
            </w:r>
          </w:p>
        </w:tc>
      </w:tr>
    </w:tbl>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Property and Equipment, net</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The following summarizes property and equipment, net as of June 30, 2024 and December 31, 2023 (in thousands):</w:t>
      </w:r>
    </w:p>
    <w:p>
      <w:pPr>
        <w:pStyle w:val="TextBody"/>
        <w:bidi w:val="0"/>
        <w:spacing w:before="0" w:after="0"/>
        <w:ind w:left="0" w:right="0" w:hanging="0"/>
        <w:jc w:val="left"/>
        <w:rPr>
          <w:spacing w:val="0"/>
          <w:shd w:fill="FFFFFF" w:val="clear"/>
        </w:rPr>
      </w:pPr>
      <w:r>
        <w:rPr>
          <w:spacing w:val="0"/>
          <w:shd w:fill="FFFFFF" w:val="clear"/>
        </w:rPr>
        <w:t> </w:t>
      </w:r>
    </w:p>
    <w:tbl>
      <w:tblPr>
        <w:tblW w:w="6850" w:type="dxa"/>
        <w:jc w:val="left"/>
        <w:tblInd w:w="0" w:type="dxa"/>
        <w:tblLayout w:type="fixed"/>
        <w:tblCellMar>
          <w:top w:w="0" w:type="dxa"/>
          <w:left w:w="0" w:type="dxa"/>
          <w:bottom w:w="0" w:type="dxa"/>
          <w:right w:w="0" w:type="dxa"/>
        </w:tblCellMar>
      </w:tblPr>
      <w:tblGrid>
        <w:gridCol w:w="2975"/>
        <w:gridCol w:w="120"/>
        <w:gridCol w:w="210"/>
        <w:gridCol w:w="1205"/>
        <w:gridCol w:w="155"/>
        <w:gridCol w:w="60"/>
        <w:gridCol w:w="291"/>
        <w:gridCol w:w="1664"/>
        <w:gridCol w:w="170"/>
      </w:tblGrid>
      <w:tr>
        <w:trPr/>
        <w:tc>
          <w:tcPr>
            <w:tcW w:w="2975"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210" w:type="dxa"/>
            <w:tcBorders/>
            <w:vAlign w:val="center"/>
          </w:tcPr>
          <w:p>
            <w:pPr>
              <w:pStyle w:val="TableContents"/>
              <w:bidi w:val="0"/>
              <w:spacing w:lineRule="atLeast" w:line="142" w:before="0" w:after="0"/>
              <w:jc w:val="left"/>
              <w:rPr>
                <w:spacing w:val="0"/>
              </w:rPr>
            </w:pPr>
            <w:r>
              <w:rPr>
                <w:spacing w:val="0"/>
              </w:rPr>
              <w:t> </w:t>
            </w:r>
          </w:p>
        </w:tc>
        <w:tc>
          <w:tcPr>
            <w:tcW w:w="1205" w:type="dxa"/>
            <w:tcBorders/>
            <w:vAlign w:val="center"/>
          </w:tcPr>
          <w:p>
            <w:pPr>
              <w:pStyle w:val="TableContents"/>
              <w:bidi w:val="0"/>
              <w:spacing w:lineRule="atLeast" w:line="142" w:before="0" w:after="0"/>
              <w:jc w:val="left"/>
              <w:rPr>
                <w:spacing w:val="0"/>
              </w:rPr>
            </w:pPr>
            <w:r>
              <w:rPr>
                <w:spacing w:val="0"/>
              </w:rPr>
              <w:t> </w:t>
            </w:r>
          </w:p>
        </w:tc>
        <w:tc>
          <w:tcPr>
            <w:tcW w:w="155" w:type="dxa"/>
            <w:tcBorders/>
            <w:vAlign w:val="center"/>
          </w:tcPr>
          <w:p>
            <w:pPr>
              <w:pStyle w:val="TableContents"/>
              <w:bidi w:val="0"/>
              <w:spacing w:lineRule="atLeast" w:line="142" w:before="0" w:after="0"/>
              <w:jc w:val="left"/>
              <w:rPr>
                <w:spacing w:val="0"/>
              </w:rPr>
            </w:pPr>
            <w:r>
              <w:rPr>
                <w:spacing w:val="0"/>
              </w:rPr>
              <w:t> </w:t>
            </w:r>
          </w:p>
        </w:tc>
        <w:tc>
          <w:tcPr>
            <w:tcW w:w="60" w:type="dxa"/>
            <w:tcBorders/>
            <w:vAlign w:val="center"/>
          </w:tcPr>
          <w:p>
            <w:pPr>
              <w:pStyle w:val="TableContents"/>
              <w:bidi w:val="0"/>
              <w:spacing w:lineRule="atLeast" w:line="142" w:before="0" w:after="0"/>
              <w:jc w:val="left"/>
              <w:rPr>
                <w:spacing w:val="0"/>
              </w:rPr>
            </w:pPr>
            <w:r>
              <w:rPr>
                <w:spacing w:val="0"/>
              </w:rPr>
              <w:t> </w:t>
            </w:r>
          </w:p>
        </w:tc>
        <w:tc>
          <w:tcPr>
            <w:tcW w:w="291" w:type="dxa"/>
            <w:tcBorders/>
            <w:vAlign w:val="center"/>
          </w:tcPr>
          <w:p>
            <w:pPr>
              <w:pStyle w:val="TableContents"/>
              <w:bidi w:val="0"/>
              <w:spacing w:lineRule="atLeast" w:line="142" w:before="0" w:after="0"/>
              <w:jc w:val="left"/>
              <w:rPr>
                <w:spacing w:val="0"/>
              </w:rPr>
            </w:pPr>
            <w:r>
              <w:rPr>
                <w:spacing w:val="0"/>
              </w:rPr>
              <w:t> </w:t>
            </w:r>
          </w:p>
        </w:tc>
        <w:tc>
          <w:tcPr>
            <w:tcW w:w="1664" w:type="dxa"/>
            <w:tcBorders/>
            <w:vAlign w:val="center"/>
          </w:tcPr>
          <w:p>
            <w:pPr>
              <w:pStyle w:val="TableContents"/>
              <w:bidi w:val="0"/>
              <w:spacing w:lineRule="atLeast" w:line="142" w:before="0" w:after="0"/>
              <w:jc w:val="left"/>
              <w:rPr>
                <w:spacing w:val="0"/>
              </w:rPr>
            </w:pPr>
            <w:r>
              <w:rPr>
                <w:spacing w:val="0"/>
              </w:rPr>
              <w:t> </w:t>
            </w:r>
          </w:p>
        </w:tc>
        <w:tc>
          <w:tcPr>
            <w:tcW w:w="170" w:type="dxa"/>
            <w:tcBorders/>
            <w:vAlign w:val="center"/>
          </w:tcPr>
          <w:p>
            <w:pPr>
              <w:pStyle w:val="TableContents"/>
              <w:bidi w:val="0"/>
              <w:spacing w:lineRule="atLeast" w:line="142" w:before="0" w:after="0"/>
              <w:jc w:val="left"/>
              <w:rPr>
                <w:spacing w:val="0"/>
              </w:rPr>
            </w:pPr>
            <w:r>
              <w:rPr>
                <w:spacing w:val="0"/>
              </w:rPr>
              <w:t> </w:t>
            </w:r>
          </w:p>
        </w:tc>
      </w:tr>
      <w:tr>
        <w:trPr/>
        <w:tc>
          <w:tcPr>
            <w:tcW w:w="29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June 30, 2024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December 31, 2023</w:t>
            </w:r>
          </w:p>
        </w:tc>
        <w:tc>
          <w:tcPr>
            <w:tcW w:w="170" w:type="dxa"/>
            <w:tcBorders/>
            <w:vAlign w:val="center"/>
          </w:tcPr>
          <w:p>
            <w:pPr>
              <w:pStyle w:val="TableContents"/>
              <w:bidi w:val="0"/>
              <w:spacing w:before="0" w:after="0"/>
              <w:jc w:val="left"/>
              <w:rPr>
                <w:spacing w:val="0"/>
              </w:rPr>
            </w:pPr>
            <w:r>
              <w:rPr>
                <w:spacing w:val="0"/>
              </w:rPr>
              <w:t> </w:t>
            </w:r>
          </w:p>
        </w:tc>
      </w:tr>
      <w:tr>
        <w:trPr/>
        <w:tc>
          <w:tcPr>
            <w:tcW w:w="29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Equipment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w:t>
            </w:r>
          </w:p>
        </w:tc>
        <w:tc>
          <w:tcPr>
            <w:tcW w:w="1205" w:type="dxa"/>
            <w:tcBorders/>
            <w:shd w:fill="CCEEFF" w:val="clear"/>
            <w:vAlign w:val="center"/>
          </w:tcPr>
          <w:p>
            <w:pPr>
              <w:pStyle w:val="TableContents"/>
              <w:bidi w:val="0"/>
              <w:spacing w:before="0" w:after="0"/>
              <w:jc w:val="right"/>
              <w:rPr>
                <w:spacing w:val="0"/>
              </w:rPr>
            </w:pPr>
            <w:r>
              <w:rPr>
                <w:spacing w:val="0"/>
              </w:rPr>
              <w:t>101,631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91" w:type="dxa"/>
            <w:tcBorders/>
            <w:shd w:fill="CCEEFF" w:val="clear"/>
            <w:vAlign w:val="center"/>
          </w:tcPr>
          <w:p>
            <w:pPr>
              <w:pStyle w:val="TableContents"/>
              <w:bidi w:val="0"/>
              <w:spacing w:before="0" w:after="0"/>
              <w:jc w:val="left"/>
              <w:rPr>
                <w:spacing w:val="0"/>
              </w:rPr>
            </w:pPr>
            <w:r>
              <w:rPr>
                <w:spacing w:val="0"/>
              </w:rPr>
              <w:t>$</w:t>
            </w:r>
          </w:p>
        </w:tc>
        <w:tc>
          <w:tcPr>
            <w:tcW w:w="1664" w:type="dxa"/>
            <w:tcBorders/>
            <w:shd w:fill="CCEEFF" w:val="clear"/>
            <w:vAlign w:val="center"/>
          </w:tcPr>
          <w:p>
            <w:pPr>
              <w:pStyle w:val="TableContents"/>
              <w:bidi w:val="0"/>
              <w:spacing w:before="0" w:after="0"/>
              <w:jc w:val="right"/>
              <w:rPr>
                <w:spacing w:val="0"/>
              </w:rPr>
            </w:pPr>
            <w:r>
              <w:rPr>
                <w:spacing w:val="0"/>
              </w:rPr>
              <w:t>91,656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9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44,000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91" w:type="dxa"/>
            <w:tcBorders/>
            <w:vAlign w:val="center"/>
          </w:tcPr>
          <w:p>
            <w:pPr>
              <w:pStyle w:val="TableContents"/>
              <w:bidi w:val="0"/>
              <w:spacing w:before="0" w:after="0"/>
              <w:jc w:val="left"/>
              <w:rPr>
                <w:spacing w:val="0"/>
              </w:rPr>
            </w:pPr>
            <w:r>
              <w:rPr>
                <w:spacing w:val="0"/>
              </w:rPr>
              <w:t> </w:t>
            </w:r>
          </w:p>
        </w:tc>
        <w:tc>
          <w:tcPr>
            <w:tcW w:w="1664" w:type="dxa"/>
            <w:tcBorders/>
            <w:vAlign w:val="center"/>
          </w:tcPr>
          <w:p>
            <w:pPr>
              <w:pStyle w:val="TableContents"/>
              <w:bidi w:val="0"/>
              <w:spacing w:before="0" w:after="0"/>
              <w:jc w:val="right"/>
              <w:rPr>
                <w:spacing w:val="0"/>
              </w:rPr>
            </w:pPr>
            <w:r>
              <w:rPr>
                <w:spacing w:val="0"/>
              </w:rPr>
              <w:t>42,433</w:t>
            </w:r>
          </w:p>
        </w:tc>
        <w:tc>
          <w:tcPr>
            <w:tcW w:w="170" w:type="dxa"/>
            <w:tcBorders/>
            <w:vAlign w:val="center"/>
          </w:tcPr>
          <w:p>
            <w:pPr>
              <w:pStyle w:val="TableContents"/>
              <w:bidi w:val="0"/>
              <w:spacing w:before="0" w:after="0"/>
              <w:jc w:val="left"/>
              <w:rPr>
                <w:spacing w:val="0"/>
              </w:rPr>
            </w:pPr>
            <w:r>
              <w:rPr>
                <w:spacing w:val="0"/>
              </w:rPr>
              <w:t> </w:t>
            </w:r>
          </w:p>
        </w:tc>
      </w:tr>
      <w:tr>
        <w:trPr/>
        <w:tc>
          <w:tcPr>
            <w:tcW w:w="29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 and fixtures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6,633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91" w:type="dxa"/>
            <w:tcBorders/>
            <w:shd w:fill="CCEEFF" w:val="clear"/>
            <w:vAlign w:val="center"/>
          </w:tcPr>
          <w:p>
            <w:pPr>
              <w:pStyle w:val="TableContents"/>
              <w:bidi w:val="0"/>
              <w:spacing w:before="0" w:after="0"/>
              <w:jc w:val="left"/>
              <w:rPr>
                <w:spacing w:val="0"/>
              </w:rPr>
            </w:pPr>
            <w:r>
              <w:rPr>
                <w:spacing w:val="0"/>
              </w:rPr>
              <w:t> </w:t>
            </w:r>
          </w:p>
        </w:tc>
        <w:tc>
          <w:tcPr>
            <w:tcW w:w="1664" w:type="dxa"/>
            <w:tcBorders/>
            <w:shd w:fill="CCEEFF" w:val="clear"/>
            <w:vAlign w:val="center"/>
          </w:tcPr>
          <w:p>
            <w:pPr>
              <w:pStyle w:val="TableContents"/>
              <w:bidi w:val="0"/>
              <w:spacing w:before="0" w:after="0"/>
              <w:jc w:val="right"/>
              <w:rPr>
                <w:spacing w:val="0"/>
              </w:rPr>
            </w:pPr>
            <w:r>
              <w:rPr>
                <w:spacing w:val="0"/>
              </w:rPr>
              <w:t>6,633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29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property and equipment, gross</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 </w:t>
            </w:r>
          </w:p>
        </w:tc>
        <w:tc>
          <w:tcPr>
            <w:tcW w:w="1205" w:type="dxa"/>
            <w:tcBorders/>
            <w:vAlign w:val="center"/>
          </w:tcPr>
          <w:p>
            <w:pPr>
              <w:pStyle w:val="TableContents"/>
              <w:bidi w:val="0"/>
              <w:spacing w:before="0" w:after="0"/>
              <w:jc w:val="right"/>
              <w:rPr>
                <w:spacing w:val="0"/>
              </w:rPr>
            </w:pPr>
            <w:r>
              <w:rPr>
                <w:spacing w:val="0"/>
              </w:rPr>
              <w:t>152,264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91" w:type="dxa"/>
            <w:tcBorders/>
            <w:vAlign w:val="center"/>
          </w:tcPr>
          <w:p>
            <w:pPr>
              <w:pStyle w:val="TableContents"/>
              <w:bidi w:val="0"/>
              <w:spacing w:before="0" w:after="0"/>
              <w:jc w:val="left"/>
              <w:rPr>
                <w:spacing w:val="0"/>
              </w:rPr>
            </w:pPr>
            <w:r>
              <w:rPr>
                <w:spacing w:val="0"/>
              </w:rPr>
              <w:t> </w:t>
            </w:r>
          </w:p>
        </w:tc>
        <w:tc>
          <w:tcPr>
            <w:tcW w:w="1664" w:type="dxa"/>
            <w:tcBorders/>
            <w:vAlign w:val="center"/>
          </w:tcPr>
          <w:p>
            <w:pPr>
              <w:pStyle w:val="TableContents"/>
              <w:bidi w:val="0"/>
              <w:spacing w:before="0" w:after="0"/>
              <w:jc w:val="right"/>
              <w:rPr>
                <w:spacing w:val="0"/>
              </w:rPr>
            </w:pPr>
            <w:r>
              <w:rPr>
                <w:spacing w:val="0"/>
              </w:rPr>
              <w:t>140,722</w:t>
            </w:r>
          </w:p>
        </w:tc>
        <w:tc>
          <w:tcPr>
            <w:tcW w:w="170" w:type="dxa"/>
            <w:tcBorders/>
            <w:vAlign w:val="center"/>
          </w:tcPr>
          <w:p>
            <w:pPr>
              <w:pStyle w:val="TableContents"/>
              <w:bidi w:val="0"/>
              <w:spacing w:before="0" w:after="0"/>
              <w:jc w:val="left"/>
              <w:rPr>
                <w:spacing w:val="0"/>
              </w:rPr>
            </w:pPr>
            <w:r>
              <w:rPr>
                <w:spacing w:val="0"/>
              </w:rPr>
              <w:t> </w:t>
            </w:r>
          </w:p>
        </w:tc>
      </w:tr>
      <w:tr>
        <w:trPr/>
        <w:tc>
          <w:tcPr>
            <w:tcW w:w="29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0" w:type="dxa"/>
            <w:tcBorders/>
            <w:shd w:fill="CCEEFF" w:val="clear"/>
            <w:vAlign w:val="center"/>
          </w:tcPr>
          <w:p>
            <w:pPr>
              <w:pStyle w:val="TableContents"/>
              <w:bidi w:val="0"/>
              <w:spacing w:before="0" w:after="0"/>
              <w:jc w:val="left"/>
              <w:rPr>
                <w:spacing w:val="0"/>
              </w:rPr>
            </w:pPr>
            <w:r>
              <w:rPr>
                <w:spacing w:val="0"/>
              </w:rPr>
              <w:t> </w:t>
            </w:r>
          </w:p>
        </w:tc>
        <w:tc>
          <w:tcPr>
            <w:tcW w:w="1205" w:type="dxa"/>
            <w:tcBorders/>
            <w:shd w:fill="CCEEFF" w:val="clear"/>
            <w:vAlign w:val="center"/>
          </w:tcPr>
          <w:p>
            <w:pPr>
              <w:pStyle w:val="TableContents"/>
              <w:bidi w:val="0"/>
              <w:spacing w:before="0" w:after="0"/>
              <w:jc w:val="right"/>
              <w:rPr>
                <w:spacing w:val="0"/>
              </w:rPr>
            </w:pPr>
            <w:r>
              <w:rPr>
                <w:spacing w:val="0"/>
              </w:rPr>
              <w:t>(91,725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91" w:type="dxa"/>
            <w:tcBorders/>
            <w:shd w:fill="CCEEFF" w:val="clear"/>
            <w:vAlign w:val="center"/>
          </w:tcPr>
          <w:p>
            <w:pPr>
              <w:pStyle w:val="TableContents"/>
              <w:bidi w:val="0"/>
              <w:spacing w:before="0" w:after="0"/>
              <w:jc w:val="left"/>
              <w:rPr>
                <w:spacing w:val="0"/>
              </w:rPr>
            </w:pPr>
            <w:r>
              <w:rPr>
                <w:spacing w:val="0"/>
              </w:rPr>
              <w:t> </w:t>
            </w:r>
          </w:p>
        </w:tc>
        <w:tc>
          <w:tcPr>
            <w:tcW w:w="1664" w:type="dxa"/>
            <w:tcBorders/>
            <w:shd w:fill="CCEEFF" w:val="clear"/>
            <w:vAlign w:val="center"/>
          </w:tcPr>
          <w:p>
            <w:pPr>
              <w:pStyle w:val="TableContents"/>
              <w:bidi w:val="0"/>
              <w:spacing w:before="0" w:after="0"/>
              <w:jc w:val="right"/>
              <w:rPr>
                <w:spacing w:val="0"/>
              </w:rPr>
            </w:pPr>
            <w:r>
              <w:rPr>
                <w:spacing w:val="0"/>
              </w:rPr>
              <w:t>(79,041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29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w:t>
            </w:r>
          </w:p>
        </w:tc>
        <w:tc>
          <w:tcPr>
            <w:tcW w:w="1205" w:type="dxa"/>
            <w:tcBorders/>
            <w:vAlign w:val="center"/>
          </w:tcPr>
          <w:p>
            <w:pPr>
              <w:pStyle w:val="TableContents"/>
              <w:bidi w:val="0"/>
              <w:spacing w:before="0" w:after="0"/>
              <w:jc w:val="right"/>
              <w:rPr>
                <w:spacing w:val="0"/>
              </w:rPr>
            </w:pPr>
            <w:r>
              <w:rPr>
                <w:spacing w:val="0"/>
              </w:rPr>
              <w:t>60,539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91" w:type="dxa"/>
            <w:tcBorders/>
            <w:vAlign w:val="center"/>
          </w:tcPr>
          <w:p>
            <w:pPr>
              <w:pStyle w:val="TableContents"/>
              <w:bidi w:val="0"/>
              <w:spacing w:before="0" w:after="0"/>
              <w:jc w:val="left"/>
              <w:rPr>
                <w:spacing w:val="0"/>
              </w:rPr>
            </w:pPr>
            <w:r>
              <w:rPr>
                <w:spacing w:val="0"/>
              </w:rPr>
              <w:t>$</w:t>
            </w:r>
          </w:p>
        </w:tc>
        <w:tc>
          <w:tcPr>
            <w:tcW w:w="1664" w:type="dxa"/>
            <w:tcBorders/>
            <w:vAlign w:val="center"/>
          </w:tcPr>
          <w:p>
            <w:pPr>
              <w:pStyle w:val="TableContents"/>
              <w:bidi w:val="0"/>
              <w:spacing w:before="0" w:after="0"/>
              <w:jc w:val="right"/>
              <w:rPr>
                <w:spacing w:val="0"/>
              </w:rPr>
            </w:pPr>
            <w:r>
              <w:rPr>
                <w:spacing w:val="0"/>
              </w:rPr>
              <w:t>61,681</w:t>
            </w:r>
          </w:p>
        </w:tc>
        <w:tc>
          <w:tcPr>
            <w:tcW w:w="170" w:type="dxa"/>
            <w:tcBorders/>
            <w:vAlign w:val="center"/>
          </w:tcPr>
          <w:p>
            <w:pPr>
              <w:pStyle w:val="TableContents"/>
              <w:bidi w:val="0"/>
              <w:spacing w:before="0" w:after="0"/>
              <w:jc w:val="left"/>
              <w:rPr>
                <w:spacing w:val="0"/>
              </w:rPr>
            </w:pPr>
            <w:r>
              <w:rPr>
                <w:spacing w:val="0"/>
              </w:rPr>
              <w:t> </w:t>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Depreciation expense on property and equipment is classified as follows in the accompanying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c</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ondensed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consolidated statements of operations for the three and six months ended June 30, 2024 and 2023 (in thousands): </w:t>
      </w:r>
    </w:p>
    <w:p>
      <w:pPr>
        <w:pStyle w:val="TextBody"/>
        <w:bidi w:val="0"/>
        <w:spacing w:before="0" w:after="0"/>
        <w:ind w:left="0" w:right="0" w:hanging="0"/>
        <w:jc w:val="left"/>
        <w:rPr>
          <w:spacing w:val="0"/>
          <w:shd w:fill="FFFFFF" w:val="clear"/>
        </w:rPr>
      </w:pPr>
      <w:r>
        <w:rPr>
          <w:spacing w:val="0"/>
          <w:shd w:fill="FFFFFF" w:val="clear"/>
        </w:rPr>
        <w:t> </w:t>
      </w:r>
    </w:p>
    <w:tbl>
      <w:tblPr>
        <w:tblW w:w="9639" w:type="dxa"/>
        <w:jc w:val="left"/>
        <w:tblInd w:w="0" w:type="dxa"/>
        <w:tblLayout w:type="fixed"/>
        <w:tblCellMar>
          <w:top w:w="0" w:type="dxa"/>
          <w:left w:w="0" w:type="dxa"/>
          <w:bottom w:w="0" w:type="dxa"/>
          <w:right w:w="0" w:type="dxa"/>
        </w:tblCellMar>
      </w:tblPr>
      <w:tblGrid>
        <w:gridCol w:w="3320"/>
        <w:gridCol w:w="120"/>
        <w:gridCol w:w="266"/>
        <w:gridCol w:w="1066"/>
        <w:gridCol w:w="114"/>
        <w:gridCol w:w="228"/>
        <w:gridCol w:w="266"/>
        <w:gridCol w:w="1183"/>
        <w:gridCol w:w="60"/>
        <w:gridCol w:w="120"/>
        <w:gridCol w:w="203"/>
        <w:gridCol w:w="1076"/>
        <w:gridCol w:w="86"/>
        <w:gridCol w:w="174"/>
        <w:gridCol w:w="203"/>
        <w:gridCol w:w="1079"/>
        <w:gridCol w:w="75"/>
      </w:tblGrid>
      <w:tr>
        <w:trPr/>
        <w:tc>
          <w:tcPr>
            <w:tcW w:w="3320"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266" w:type="dxa"/>
            <w:tcBorders/>
            <w:vAlign w:val="center"/>
          </w:tcPr>
          <w:p>
            <w:pPr>
              <w:pStyle w:val="TableContents"/>
              <w:bidi w:val="0"/>
              <w:spacing w:lineRule="atLeast" w:line="142" w:before="0" w:after="0"/>
              <w:jc w:val="left"/>
              <w:rPr>
                <w:spacing w:val="0"/>
              </w:rPr>
            </w:pPr>
            <w:r>
              <w:rPr>
                <w:spacing w:val="0"/>
              </w:rPr>
              <w:t> </w:t>
            </w:r>
          </w:p>
        </w:tc>
        <w:tc>
          <w:tcPr>
            <w:tcW w:w="1066" w:type="dxa"/>
            <w:tcBorders/>
            <w:vAlign w:val="center"/>
          </w:tcPr>
          <w:p>
            <w:pPr>
              <w:pStyle w:val="TableContents"/>
              <w:bidi w:val="0"/>
              <w:spacing w:lineRule="atLeast" w:line="142" w:before="0" w:after="0"/>
              <w:jc w:val="left"/>
              <w:rPr>
                <w:spacing w:val="0"/>
              </w:rPr>
            </w:pPr>
            <w:r>
              <w:rPr>
                <w:spacing w:val="0"/>
              </w:rPr>
              <w:t> </w:t>
            </w:r>
          </w:p>
        </w:tc>
        <w:tc>
          <w:tcPr>
            <w:tcW w:w="114" w:type="dxa"/>
            <w:tcBorders/>
            <w:vAlign w:val="center"/>
          </w:tcPr>
          <w:p>
            <w:pPr>
              <w:pStyle w:val="TableContents"/>
              <w:bidi w:val="0"/>
              <w:spacing w:lineRule="atLeast" w:line="142" w:before="0" w:after="0"/>
              <w:jc w:val="left"/>
              <w:rPr>
                <w:spacing w:val="0"/>
              </w:rPr>
            </w:pPr>
            <w:r>
              <w:rPr>
                <w:spacing w:val="0"/>
              </w:rPr>
              <w:t> </w:t>
            </w:r>
          </w:p>
        </w:tc>
        <w:tc>
          <w:tcPr>
            <w:tcW w:w="228" w:type="dxa"/>
            <w:tcBorders/>
            <w:vAlign w:val="center"/>
          </w:tcPr>
          <w:p>
            <w:pPr>
              <w:pStyle w:val="TableContents"/>
              <w:bidi w:val="0"/>
              <w:spacing w:lineRule="atLeast" w:line="142" w:before="0" w:after="0"/>
              <w:jc w:val="left"/>
              <w:rPr>
                <w:spacing w:val="0"/>
              </w:rPr>
            </w:pPr>
            <w:r>
              <w:rPr>
                <w:spacing w:val="0"/>
              </w:rPr>
              <w:t> </w:t>
            </w:r>
          </w:p>
        </w:tc>
        <w:tc>
          <w:tcPr>
            <w:tcW w:w="266" w:type="dxa"/>
            <w:tcBorders/>
            <w:vAlign w:val="center"/>
          </w:tcPr>
          <w:p>
            <w:pPr>
              <w:pStyle w:val="TableContents"/>
              <w:bidi w:val="0"/>
              <w:spacing w:lineRule="atLeast" w:line="142" w:before="0" w:after="0"/>
              <w:jc w:val="left"/>
              <w:rPr>
                <w:spacing w:val="0"/>
              </w:rPr>
            </w:pPr>
            <w:r>
              <w:rPr>
                <w:spacing w:val="0"/>
              </w:rPr>
              <w:t> </w:t>
            </w:r>
          </w:p>
        </w:tc>
        <w:tc>
          <w:tcPr>
            <w:tcW w:w="1183" w:type="dxa"/>
            <w:tcBorders/>
            <w:vAlign w:val="center"/>
          </w:tcPr>
          <w:p>
            <w:pPr>
              <w:pStyle w:val="TableContents"/>
              <w:bidi w:val="0"/>
              <w:spacing w:lineRule="atLeast" w:line="142" w:before="0" w:after="0"/>
              <w:jc w:val="left"/>
              <w:rPr>
                <w:spacing w:val="0"/>
              </w:rPr>
            </w:pPr>
            <w:r>
              <w:rPr>
                <w:spacing w:val="0"/>
              </w:rPr>
              <w:t> </w:t>
            </w:r>
          </w:p>
        </w:tc>
        <w:tc>
          <w:tcPr>
            <w:tcW w:w="60"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203" w:type="dxa"/>
            <w:tcBorders/>
            <w:vAlign w:val="center"/>
          </w:tcPr>
          <w:p>
            <w:pPr>
              <w:pStyle w:val="TableContents"/>
              <w:bidi w:val="0"/>
              <w:spacing w:lineRule="atLeast" w:line="142" w:before="0" w:after="0"/>
              <w:jc w:val="left"/>
              <w:rPr>
                <w:spacing w:val="0"/>
              </w:rPr>
            </w:pPr>
            <w:r>
              <w:rPr>
                <w:spacing w:val="0"/>
              </w:rPr>
              <w:t> </w:t>
            </w:r>
          </w:p>
        </w:tc>
        <w:tc>
          <w:tcPr>
            <w:tcW w:w="1076" w:type="dxa"/>
            <w:tcBorders/>
            <w:vAlign w:val="center"/>
          </w:tcPr>
          <w:p>
            <w:pPr>
              <w:pStyle w:val="TableContents"/>
              <w:bidi w:val="0"/>
              <w:spacing w:lineRule="atLeast" w:line="142" w:before="0" w:after="0"/>
              <w:jc w:val="left"/>
              <w:rPr>
                <w:spacing w:val="0"/>
              </w:rPr>
            </w:pPr>
            <w:r>
              <w:rPr>
                <w:spacing w:val="0"/>
              </w:rPr>
              <w:t> </w:t>
            </w:r>
          </w:p>
        </w:tc>
        <w:tc>
          <w:tcPr>
            <w:tcW w:w="86" w:type="dxa"/>
            <w:tcBorders/>
            <w:vAlign w:val="center"/>
          </w:tcPr>
          <w:p>
            <w:pPr>
              <w:pStyle w:val="TableContents"/>
              <w:bidi w:val="0"/>
              <w:spacing w:lineRule="atLeast" w:line="142" w:before="0" w:after="0"/>
              <w:jc w:val="left"/>
              <w:rPr>
                <w:spacing w:val="0"/>
              </w:rPr>
            </w:pPr>
            <w:r>
              <w:rPr>
                <w:spacing w:val="0"/>
              </w:rPr>
              <w:t> </w:t>
            </w:r>
          </w:p>
        </w:tc>
        <w:tc>
          <w:tcPr>
            <w:tcW w:w="174" w:type="dxa"/>
            <w:tcBorders/>
            <w:vAlign w:val="center"/>
          </w:tcPr>
          <w:p>
            <w:pPr>
              <w:pStyle w:val="TableContents"/>
              <w:bidi w:val="0"/>
              <w:spacing w:lineRule="atLeast" w:line="142" w:before="0" w:after="0"/>
              <w:jc w:val="left"/>
              <w:rPr>
                <w:spacing w:val="0"/>
              </w:rPr>
            </w:pPr>
            <w:r>
              <w:rPr>
                <w:spacing w:val="0"/>
              </w:rPr>
              <w:t> </w:t>
            </w:r>
          </w:p>
        </w:tc>
        <w:tc>
          <w:tcPr>
            <w:tcW w:w="203" w:type="dxa"/>
            <w:tcBorders/>
            <w:vAlign w:val="center"/>
          </w:tcPr>
          <w:p>
            <w:pPr>
              <w:pStyle w:val="TableContents"/>
              <w:bidi w:val="0"/>
              <w:spacing w:lineRule="atLeast" w:line="142" w:before="0" w:after="0"/>
              <w:jc w:val="left"/>
              <w:rPr>
                <w:spacing w:val="0"/>
              </w:rPr>
            </w:pPr>
            <w:r>
              <w:rPr>
                <w:spacing w:val="0"/>
              </w:rPr>
              <w:t> </w:t>
            </w:r>
          </w:p>
        </w:tc>
        <w:tc>
          <w:tcPr>
            <w:tcW w:w="1079" w:type="dxa"/>
            <w:tcBorders/>
            <w:vAlign w:val="center"/>
          </w:tcPr>
          <w:p>
            <w:pPr>
              <w:pStyle w:val="TableContents"/>
              <w:bidi w:val="0"/>
              <w:spacing w:lineRule="atLeast" w:line="142" w:before="0" w:after="0"/>
              <w:jc w:val="left"/>
              <w:rPr>
                <w:spacing w:val="0"/>
              </w:rPr>
            </w:pPr>
            <w:r>
              <w:rPr>
                <w:spacing w:val="0"/>
              </w:rPr>
              <w:t> </w:t>
            </w:r>
          </w:p>
        </w:tc>
        <w:tc>
          <w:tcPr>
            <w:tcW w:w="75" w:type="dxa"/>
            <w:tcBorders/>
            <w:vAlign w:val="center"/>
          </w:tcPr>
          <w:p>
            <w:pPr>
              <w:pStyle w:val="TableContents"/>
              <w:bidi w:val="0"/>
              <w:spacing w:lineRule="atLeast" w:line="142" w:before="0" w:after="0"/>
              <w:jc w:val="left"/>
              <w:rPr>
                <w:spacing w:val="0"/>
              </w:rPr>
            </w:pPr>
            <w:r>
              <w:rPr>
                <w:spacing w:val="0"/>
              </w:rPr>
              <w:t> </w:t>
            </w:r>
          </w:p>
        </w:tc>
      </w:tr>
      <w:tr>
        <w:trPr/>
        <w:tc>
          <w:tcPr>
            <w:tcW w:w="33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123" w:type="dxa"/>
            <w:gridSpan w:val="6"/>
            <w:tcBorders/>
            <w:vAlign w:val="center"/>
          </w:tcPr>
          <w:p>
            <w:pPr>
              <w:pStyle w:val="TableContents"/>
              <w:bidi w:val="0"/>
              <w:spacing w:before="0" w:after="0"/>
              <w:jc w:val="center"/>
              <w:rPr>
                <w:b/>
                <w:spacing w:val="0"/>
              </w:rPr>
            </w:pPr>
            <w:r>
              <w:rPr>
                <w:b/>
                <w:spacing w:val="0"/>
              </w:rPr>
              <w:t>Three Months Ended June 30,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21" w:type="dxa"/>
            <w:gridSpan w:val="6"/>
            <w:tcBorders/>
            <w:vAlign w:val="center"/>
          </w:tcPr>
          <w:p>
            <w:pPr>
              <w:pStyle w:val="TableContents"/>
              <w:bidi w:val="0"/>
              <w:spacing w:before="0" w:after="0"/>
              <w:jc w:val="center"/>
              <w:rPr>
                <w:b/>
                <w:spacing w:val="0"/>
              </w:rPr>
            </w:pPr>
            <w:r>
              <w:rPr>
                <w:b/>
                <w:spacing w:val="0"/>
              </w:rPr>
              <w:t>Six Months Ended June 30,</w:t>
            </w:r>
          </w:p>
        </w:tc>
        <w:tc>
          <w:tcPr>
            <w:tcW w:w="75" w:type="dxa"/>
            <w:tcBorders/>
            <w:vAlign w:val="center"/>
          </w:tcPr>
          <w:p>
            <w:pPr>
              <w:pStyle w:val="TableContents"/>
              <w:bidi w:val="0"/>
              <w:spacing w:before="0" w:after="0"/>
              <w:jc w:val="left"/>
              <w:rPr>
                <w:spacing w:val="0"/>
              </w:rPr>
            </w:pPr>
            <w:r>
              <w:rPr>
                <w:spacing w:val="0"/>
              </w:rPr>
              <w:t> </w:t>
            </w:r>
          </w:p>
        </w:tc>
      </w:tr>
      <w:tr>
        <w:trPr/>
        <w:tc>
          <w:tcPr>
            <w:tcW w:w="33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32" w:type="dxa"/>
            <w:gridSpan w:val="2"/>
            <w:tcBorders/>
            <w:vAlign w:val="center"/>
          </w:tcPr>
          <w:p>
            <w:pPr>
              <w:pStyle w:val="TableContents"/>
              <w:bidi w:val="0"/>
              <w:spacing w:before="0" w:after="0"/>
              <w:jc w:val="center"/>
              <w:rPr>
                <w:b/>
                <w:spacing w:val="0"/>
              </w:rPr>
            </w:pPr>
            <w:r>
              <w:rPr>
                <w:b/>
                <w:spacing w:val="0"/>
              </w:rPr>
              <w:t>2024</w:t>
            </w:r>
          </w:p>
        </w:tc>
        <w:tc>
          <w:tcPr>
            <w:tcW w:w="114" w:type="dxa"/>
            <w:tcBorders/>
            <w:vAlign w:val="center"/>
          </w:tcPr>
          <w:p>
            <w:pPr>
              <w:pStyle w:val="TableContents"/>
              <w:bidi w:val="0"/>
              <w:spacing w:before="0" w:after="0"/>
              <w:jc w:val="left"/>
              <w:rPr>
                <w:spacing w:val="0"/>
              </w:rPr>
            </w:pPr>
            <w:r>
              <w:rPr>
                <w:spacing w:val="0"/>
              </w:rPr>
              <w:t> </w:t>
            </w:r>
          </w:p>
        </w:tc>
        <w:tc>
          <w:tcPr>
            <w:tcW w:w="228" w:type="dxa"/>
            <w:tcBorders/>
            <w:vAlign w:val="center"/>
          </w:tcPr>
          <w:p>
            <w:pPr>
              <w:pStyle w:val="TableContents"/>
              <w:bidi w:val="0"/>
              <w:spacing w:before="0" w:after="0"/>
              <w:jc w:val="left"/>
              <w:rPr>
                <w:spacing w:val="0"/>
              </w:rPr>
            </w:pPr>
            <w:r>
              <w:rPr>
                <w:spacing w:val="0"/>
              </w:rPr>
              <w:t>  </w:t>
            </w:r>
          </w:p>
        </w:tc>
        <w:tc>
          <w:tcPr>
            <w:tcW w:w="1449"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79" w:type="dxa"/>
            <w:gridSpan w:val="2"/>
            <w:tcBorders/>
            <w:vAlign w:val="center"/>
          </w:tcPr>
          <w:p>
            <w:pPr>
              <w:pStyle w:val="TableContents"/>
              <w:bidi w:val="0"/>
              <w:spacing w:before="0" w:after="0"/>
              <w:jc w:val="center"/>
              <w:rPr>
                <w:b/>
                <w:spacing w:val="0"/>
              </w:rPr>
            </w:pPr>
            <w:r>
              <w:rPr>
                <w:b/>
                <w:spacing w:val="0"/>
              </w:rPr>
              <w:t>2024</w:t>
            </w:r>
          </w:p>
        </w:tc>
        <w:tc>
          <w:tcPr>
            <w:tcW w:w="86" w:type="dxa"/>
            <w:tcBorders/>
            <w:vAlign w:val="center"/>
          </w:tcPr>
          <w:p>
            <w:pPr>
              <w:pStyle w:val="TableContents"/>
              <w:bidi w:val="0"/>
              <w:spacing w:before="0" w:after="0"/>
              <w:jc w:val="left"/>
              <w:rPr>
                <w:spacing w:val="0"/>
              </w:rPr>
            </w:pPr>
            <w:r>
              <w:rPr>
                <w:spacing w:val="0"/>
              </w:rPr>
              <w:t> </w:t>
            </w:r>
          </w:p>
        </w:tc>
        <w:tc>
          <w:tcPr>
            <w:tcW w:w="174" w:type="dxa"/>
            <w:tcBorders/>
            <w:vAlign w:val="center"/>
          </w:tcPr>
          <w:p>
            <w:pPr>
              <w:pStyle w:val="TableContents"/>
              <w:bidi w:val="0"/>
              <w:spacing w:before="0" w:after="0"/>
              <w:jc w:val="left"/>
              <w:rPr>
                <w:spacing w:val="0"/>
              </w:rPr>
            </w:pPr>
            <w:r>
              <w:rPr>
                <w:spacing w:val="0"/>
              </w:rPr>
              <w:t>  </w:t>
            </w:r>
          </w:p>
        </w:tc>
        <w:tc>
          <w:tcPr>
            <w:tcW w:w="1282"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33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 genomics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66" w:type="dxa"/>
            <w:tcBorders/>
            <w:shd w:fill="CCEEFF" w:val="clear"/>
            <w:vAlign w:val="center"/>
          </w:tcPr>
          <w:p>
            <w:pPr>
              <w:pStyle w:val="TableContents"/>
              <w:bidi w:val="0"/>
              <w:spacing w:before="0" w:after="0"/>
              <w:jc w:val="left"/>
              <w:rPr>
                <w:spacing w:val="0"/>
              </w:rPr>
            </w:pPr>
            <w:r>
              <w:rPr>
                <w:spacing w:val="0"/>
              </w:rPr>
              <w:t>$</w:t>
            </w:r>
          </w:p>
        </w:tc>
        <w:tc>
          <w:tcPr>
            <w:tcW w:w="1066" w:type="dxa"/>
            <w:tcBorders/>
            <w:shd w:fill="CCEEFF" w:val="clear"/>
            <w:vAlign w:val="center"/>
          </w:tcPr>
          <w:p>
            <w:pPr>
              <w:pStyle w:val="TableContents"/>
              <w:bidi w:val="0"/>
              <w:spacing w:before="0" w:after="0"/>
              <w:jc w:val="right"/>
              <w:rPr>
                <w:spacing w:val="0"/>
              </w:rPr>
            </w:pPr>
            <w:r>
              <w:rPr>
                <w:spacing w:val="0"/>
              </w:rPr>
              <w:t>3,293</w:t>
            </w:r>
          </w:p>
        </w:tc>
        <w:tc>
          <w:tcPr>
            <w:tcW w:w="114" w:type="dxa"/>
            <w:tcBorders/>
            <w:shd w:fill="CCEEFF" w:val="clear"/>
            <w:vAlign w:val="center"/>
          </w:tcPr>
          <w:p>
            <w:pPr>
              <w:pStyle w:val="TableContents"/>
              <w:bidi w:val="0"/>
              <w:spacing w:before="0" w:after="0"/>
              <w:jc w:val="left"/>
              <w:rPr>
                <w:spacing w:val="0"/>
              </w:rPr>
            </w:pPr>
            <w:r>
              <w:rPr>
                <w:spacing w:val="0"/>
              </w:rPr>
              <w:t> </w:t>
            </w:r>
          </w:p>
        </w:tc>
        <w:tc>
          <w:tcPr>
            <w:tcW w:w="228" w:type="dxa"/>
            <w:tcBorders/>
            <w:shd w:fill="CCEEFF" w:val="clear"/>
            <w:vAlign w:val="center"/>
          </w:tcPr>
          <w:p>
            <w:pPr>
              <w:pStyle w:val="TableContents"/>
              <w:bidi w:val="0"/>
              <w:spacing w:before="0" w:after="0"/>
              <w:jc w:val="left"/>
              <w:rPr>
                <w:spacing w:val="0"/>
              </w:rPr>
            </w:pPr>
            <w:r>
              <w:rPr>
                <w:spacing w:val="0"/>
              </w:rPr>
              <w:t>  </w:t>
            </w:r>
          </w:p>
        </w:tc>
        <w:tc>
          <w:tcPr>
            <w:tcW w:w="266" w:type="dxa"/>
            <w:tcBorders/>
            <w:shd w:fill="CCEEFF" w:val="clear"/>
            <w:vAlign w:val="center"/>
          </w:tcPr>
          <w:p>
            <w:pPr>
              <w:pStyle w:val="TableContents"/>
              <w:bidi w:val="0"/>
              <w:spacing w:before="0" w:after="0"/>
              <w:jc w:val="left"/>
              <w:rPr>
                <w:spacing w:val="0"/>
              </w:rPr>
            </w:pPr>
            <w:r>
              <w:rPr>
                <w:spacing w:val="0"/>
              </w:rPr>
              <w:t>$</w:t>
            </w:r>
          </w:p>
        </w:tc>
        <w:tc>
          <w:tcPr>
            <w:tcW w:w="1183" w:type="dxa"/>
            <w:tcBorders/>
            <w:shd w:fill="CCEEFF" w:val="clear"/>
            <w:vAlign w:val="center"/>
          </w:tcPr>
          <w:p>
            <w:pPr>
              <w:pStyle w:val="TableContents"/>
              <w:bidi w:val="0"/>
              <w:spacing w:before="0" w:after="0"/>
              <w:jc w:val="right"/>
              <w:rPr>
                <w:spacing w:val="0"/>
              </w:rPr>
            </w:pPr>
            <w:r>
              <w:rPr>
                <w:spacing w:val="0"/>
              </w:rPr>
              <w:t> </w:t>
            </w:r>
            <w:r>
              <w:rPr>
                <w:spacing w:val="0"/>
              </w:rPr>
              <w:t>3,222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3" w:type="dxa"/>
            <w:tcBorders/>
            <w:shd w:fill="CCEEFF" w:val="clear"/>
            <w:vAlign w:val="center"/>
          </w:tcPr>
          <w:p>
            <w:pPr>
              <w:pStyle w:val="TableContents"/>
              <w:bidi w:val="0"/>
              <w:spacing w:before="0" w:after="0"/>
              <w:jc w:val="left"/>
              <w:rPr>
                <w:spacing w:val="0"/>
              </w:rPr>
            </w:pPr>
            <w:r>
              <w:rPr>
                <w:spacing w:val="0"/>
              </w:rPr>
              <w:t>$</w:t>
            </w:r>
          </w:p>
        </w:tc>
        <w:tc>
          <w:tcPr>
            <w:tcW w:w="1076" w:type="dxa"/>
            <w:tcBorders/>
            <w:shd w:fill="CCEEFF" w:val="clear"/>
            <w:vAlign w:val="center"/>
          </w:tcPr>
          <w:p>
            <w:pPr>
              <w:pStyle w:val="TableContents"/>
              <w:bidi w:val="0"/>
              <w:spacing w:before="0" w:after="0"/>
              <w:jc w:val="right"/>
              <w:rPr>
                <w:spacing w:val="0"/>
              </w:rPr>
            </w:pPr>
            <w:r>
              <w:rPr>
                <w:spacing w:val="0"/>
              </w:rPr>
              <w:t>6,674</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174" w:type="dxa"/>
            <w:tcBorders/>
            <w:shd w:fill="CCEEFF" w:val="clear"/>
            <w:vAlign w:val="center"/>
          </w:tcPr>
          <w:p>
            <w:pPr>
              <w:pStyle w:val="TableContents"/>
              <w:bidi w:val="0"/>
              <w:spacing w:before="0" w:after="0"/>
              <w:jc w:val="left"/>
              <w:rPr>
                <w:spacing w:val="0"/>
              </w:rPr>
            </w:pPr>
            <w:r>
              <w:rPr>
                <w:spacing w:val="0"/>
              </w:rPr>
              <w:t>  </w:t>
            </w:r>
          </w:p>
        </w:tc>
        <w:tc>
          <w:tcPr>
            <w:tcW w:w="203" w:type="dxa"/>
            <w:tcBorders/>
            <w:shd w:fill="CCEEFF" w:val="clear"/>
            <w:vAlign w:val="center"/>
          </w:tcPr>
          <w:p>
            <w:pPr>
              <w:pStyle w:val="TableContents"/>
              <w:bidi w:val="0"/>
              <w:spacing w:before="0" w:after="0"/>
              <w:jc w:val="left"/>
              <w:rPr>
                <w:spacing w:val="0"/>
              </w:rPr>
            </w:pPr>
            <w:r>
              <w:rPr>
                <w:spacing w:val="0"/>
              </w:rPr>
              <w:t>$</w:t>
            </w:r>
          </w:p>
        </w:tc>
        <w:tc>
          <w:tcPr>
            <w:tcW w:w="1079" w:type="dxa"/>
            <w:tcBorders/>
            <w:shd w:fill="CCEEFF" w:val="clear"/>
            <w:vAlign w:val="center"/>
          </w:tcPr>
          <w:p>
            <w:pPr>
              <w:pStyle w:val="TableContents"/>
              <w:bidi w:val="0"/>
              <w:spacing w:before="0" w:after="0"/>
              <w:jc w:val="right"/>
              <w:rPr>
                <w:spacing w:val="0"/>
              </w:rPr>
            </w:pPr>
            <w:r>
              <w:rPr>
                <w:spacing w:val="0"/>
              </w:rPr>
              <w:t>6,363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3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 costs</w:t>
            </w:r>
          </w:p>
        </w:tc>
        <w:tc>
          <w:tcPr>
            <w:tcW w:w="120" w:type="dxa"/>
            <w:tcBorders/>
            <w:vAlign w:val="center"/>
          </w:tcPr>
          <w:p>
            <w:pPr>
              <w:pStyle w:val="TableContents"/>
              <w:bidi w:val="0"/>
              <w:spacing w:before="0" w:after="0"/>
              <w:jc w:val="left"/>
              <w:rPr>
                <w:spacing w:val="0"/>
              </w:rPr>
            </w:pPr>
            <w:r>
              <w:rPr>
                <w:spacing w:val="0"/>
              </w:rPr>
              <w:t>  </w:t>
            </w:r>
          </w:p>
        </w:tc>
        <w:tc>
          <w:tcPr>
            <w:tcW w:w="266" w:type="dxa"/>
            <w:tcBorders/>
            <w:vAlign w:val="center"/>
          </w:tcPr>
          <w:p>
            <w:pPr>
              <w:pStyle w:val="TableContents"/>
              <w:bidi w:val="0"/>
              <w:spacing w:before="0" w:after="0"/>
              <w:jc w:val="left"/>
              <w:rPr>
                <w:spacing w:val="0"/>
              </w:rPr>
            </w:pPr>
            <w:r>
              <w:rPr>
                <w:spacing w:val="0"/>
              </w:rPr>
              <w:t> </w:t>
            </w:r>
          </w:p>
        </w:tc>
        <w:tc>
          <w:tcPr>
            <w:tcW w:w="1066" w:type="dxa"/>
            <w:tcBorders/>
            <w:vAlign w:val="center"/>
          </w:tcPr>
          <w:p>
            <w:pPr>
              <w:pStyle w:val="TableContents"/>
              <w:bidi w:val="0"/>
              <w:spacing w:before="0" w:after="0"/>
              <w:jc w:val="right"/>
              <w:rPr>
                <w:spacing w:val="0"/>
              </w:rPr>
            </w:pPr>
            <w:r>
              <w:rPr>
                <w:spacing w:val="0"/>
              </w:rPr>
              <w:t>3,122</w:t>
            </w:r>
          </w:p>
        </w:tc>
        <w:tc>
          <w:tcPr>
            <w:tcW w:w="114" w:type="dxa"/>
            <w:tcBorders/>
            <w:vAlign w:val="center"/>
          </w:tcPr>
          <w:p>
            <w:pPr>
              <w:pStyle w:val="TableContents"/>
              <w:bidi w:val="0"/>
              <w:spacing w:before="0" w:after="0"/>
              <w:jc w:val="left"/>
              <w:rPr>
                <w:spacing w:val="0"/>
              </w:rPr>
            </w:pPr>
            <w:r>
              <w:rPr>
                <w:spacing w:val="0"/>
              </w:rPr>
              <w:t> </w:t>
            </w:r>
          </w:p>
        </w:tc>
        <w:tc>
          <w:tcPr>
            <w:tcW w:w="228" w:type="dxa"/>
            <w:tcBorders/>
            <w:vAlign w:val="center"/>
          </w:tcPr>
          <w:p>
            <w:pPr>
              <w:pStyle w:val="TableContents"/>
              <w:bidi w:val="0"/>
              <w:spacing w:before="0" w:after="0"/>
              <w:jc w:val="left"/>
              <w:rPr>
                <w:spacing w:val="0"/>
              </w:rPr>
            </w:pPr>
            <w:r>
              <w:rPr>
                <w:spacing w:val="0"/>
              </w:rPr>
              <w:t>  </w:t>
            </w:r>
          </w:p>
        </w:tc>
        <w:tc>
          <w:tcPr>
            <w:tcW w:w="266" w:type="dxa"/>
            <w:tcBorders/>
            <w:vAlign w:val="center"/>
          </w:tcPr>
          <w:p>
            <w:pPr>
              <w:pStyle w:val="TableContents"/>
              <w:bidi w:val="0"/>
              <w:spacing w:before="0" w:after="0"/>
              <w:jc w:val="left"/>
              <w:rPr>
                <w:spacing w:val="0"/>
              </w:rPr>
            </w:pPr>
            <w:r>
              <w:rPr>
                <w:spacing w:val="0"/>
              </w:rPr>
              <w:t> </w:t>
            </w:r>
          </w:p>
        </w:tc>
        <w:tc>
          <w:tcPr>
            <w:tcW w:w="1183" w:type="dxa"/>
            <w:tcBorders/>
            <w:vAlign w:val="center"/>
          </w:tcPr>
          <w:p>
            <w:pPr>
              <w:pStyle w:val="TableContents"/>
              <w:bidi w:val="0"/>
              <w:spacing w:before="0" w:after="0"/>
              <w:jc w:val="right"/>
              <w:rPr>
                <w:spacing w:val="0"/>
              </w:rPr>
            </w:pPr>
            <w:r>
              <w:rPr>
                <w:spacing w:val="0"/>
              </w:rPr>
              <w:t>1,972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3" w:type="dxa"/>
            <w:tcBorders/>
            <w:vAlign w:val="center"/>
          </w:tcPr>
          <w:p>
            <w:pPr>
              <w:pStyle w:val="TableContents"/>
              <w:bidi w:val="0"/>
              <w:spacing w:before="0" w:after="0"/>
              <w:jc w:val="left"/>
              <w:rPr>
                <w:spacing w:val="0"/>
              </w:rPr>
            </w:pPr>
            <w:r>
              <w:rPr>
                <w:spacing w:val="0"/>
              </w:rPr>
              <w:t> </w:t>
            </w:r>
          </w:p>
        </w:tc>
        <w:tc>
          <w:tcPr>
            <w:tcW w:w="1076" w:type="dxa"/>
            <w:tcBorders/>
            <w:vAlign w:val="center"/>
          </w:tcPr>
          <w:p>
            <w:pPr>
              <w:pStyle w:val="TableContents"/>
              <w:bidi w:val="0"/>
              <w:spacing w:before="0" w:after="0"/>
              <w:jc w:val="right"/>
              <w:rPr>
                <w:spacing w:val="0"/>
              </w:rPr>
            </w:pPr>
            <w:r>
              <w:rPr>
                <w:spacing w:val="0"/>
              </w:rPr>
              <w:t>6,010</w:t>
            </w:r>
          </w:p>
        </w:tc>
        <w:tc>
          <w:tcPr>
            <w:tcW w:w="86" w:type="dxa"/>
            <w:tcBorders/>
            <w:vAlign w:val="center"/>
          </w:tcPr>
          <w:p>
            <w:pPr>
              <w:pStyle w:val="TableContents"/>
              <w:bidi w:val="0"/>
              <w:spacing w:before="0" w:after="0"/>
              <w:jc w:val="left"/>
              <w:rPr>
                <w:spacing w:val="0"/>
              </w:rPr>
            </w:pPr>
            <w:r>
              <w:rPr>
                <w:spacing w:val="0"/>
              </w:rPr>
              <w:t> </w:t>
            </w:r>
          </w:p>
        </w:tc>
        <w:tc>
          <w:tcPr>
            <w:tcW w:w="174" w:type="dxa"/>
            <w:tcBorders/>
            <w:vAlign w:val="center"/>
          </w:tcPr>
          <w:p>
            <w:pPr>
              <w:pStyle w:val="TableContents"/>
              <w:bidi w:val="0"/>
              <w:spacing w:before="0" w:after="0"/>
              <w:jc w:val="left"/>
              <w:rPr>
                <w:spacing w:val="0"/>
              </w:rPr>
            </w:pPr>
            <w:r>
              <w:rPr>
                <w:spacing w:val="0"/>
              </w:rPr>
              <w:t>  </w:t>
            </w:r>
          </w:p>
        </w:tc>
        <w:tc>
          <w:tcPr>
            <w:tcW w:w="203" w:type="dxa"/>
            <w:tcBorders/>
            <w:vAlign w:val="center"/>
          </w:tcPr>
          <w:p>
            <w:pPr>
              <w:pStyle w:val="TableContents"/>
              <w:bidi w:val="0"/>
              <w:spacing w:before="0" w:after="0"/>
              <w:jc w:val="left"/>
              <w:rPr>
                <w:spacing w:val="0"/>
              </w:rPr>
            </w:pPr>
            <w:r>
              <w:rPr>
                <w:spacing w:val="0"/>
              </w:rPr>
              <w:t> </w:t>
            </w:r>
          </w:p>
        </w:tc>
        <w:tc>
          <w:tcPr>
            <w:tcW w:w="1079" w:type="dxa"/>
            <w:tcBorders/>
            <w:vAlign w:val="center"/>
          </w:tcPr>
          <w:p>
            <w:pPr>
              <w:pStyle w:val="TableContents"/>
              <w:bidi w:val="0"/>
              <w:spacing w:before="0" w:after="0"/>
              <w:jc w:val="right"/>
              <w:rPr>
                <w:spacing w:val="0"/>
              </w:rPr>
            </w:pPr>
            <w:r>
              <w:rPr>
                <w:spacing w:val="0"/>
              </w:rPr>
              <w:t>3,891</w:t>
            </w:r>
          </w:p>
        </w:tc>
        <w:tc>
          <w:tcPr>
            <w:tcW w:w="75" w:type="dxa"/>
            <w:tcBorders/>
            <w:vAlign w:val="center"/>
          </w:tcPr>
          <w:p>
            <w:pPr>
              <w:pStyle w:val="TableContents"/>
              <w:bidi w:val="0"/>
              <w:spacing w:before="0" w:after="0"/>
              <w:jc w:val="left"/>
              <w:rPr>
                <w:spacing w:val="0"/>
              </w:rPr>
            </w:pPr>
            <w:r>
              <w:rPr>
                <w:spacing w:val="0"/>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0"/>
              <w:jc w:val="left"/>
              <w:rPr>
                <w:spacing w:val="0"/>
              </w:rPr>
            </w:pPr>
            <w:r>
              <w:rPr>
                <w:spacing w:val="0"/>
              </w:rPr>
              <w:t> </w:t>
            </w:r>
          </w:p>
        </w:tc>
        <w:tc>
          <w:tcPr>
            <w:tcW w:w="228" w:type="dxa"/>
            <w:tcBorders/>
            <w:vAlign w:val="center"/>
          </w:tcPr>
          <w:p>
            <w:pPr>
              <w:pStyle w:val="TableContents"/>
              <w:bidi w:val="0"/>
              <w:spacing w:before="0" w:after="0"/>
              <w:jc w:val="left"/>
              <w:rPr>
                <w:spacing w:val="0"/>
              </w:rPr>
            </w:pPr>
            <w:r>
              <w:rPr>
                <w:spacing w:val="0"/>
              </w:rPr>
              <w:t>  </w:t>
            </w:r>
          </w:p>
        </w:tc>
        <w:tc>
          <w:tcPr>
            <w:tcW w:w="2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 w:type="dxa"/>
            <w:tcBorders/>
            <w:vAlign w:val="center"/>
          </w:tcPr>
          <w:p>
            <w:pPr>
              <w:pStyle w:val="TableContents"/>
              <w:bidi w:val="0"/>
              <w:spacing w:before="0" w:after="0"/>
              <w:jc w:val="left"/>
              <w:rPr>
                <w:spacing w:val="0"/>
              </w:rPr>
            </w:pPr>
            <w:r>
              <w:rPr>
                <w:spacing w:val="0"/>
              </w:rPr>
              <w:t> </w:t>
            </w:r>
          </w:p>
        </w:tc>
        <w:tc>
          <w:tcPr>
            <w:tcW w:w="174" w:type="dxa"/>
            <w:tcBorders/>
            <w:vAlign w:val="center"/>
          </w:tcPr>
          <w:p>
            <w:pPr>
              <w:pStyle w:val="TableContents"/>
              <w:bidi w:val="0"/>
              <w:spacing w:before="0" w:after="0"/>
              <w:jc w:val="left"/>
              <w:rPr>
                <w:spacing w:val="0"/>
              </w:rPr>
            </w:pPr>
            <w:r>
              <w:rPr>
                <w:spacing w:val="0"/>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33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depreciation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66" w:type="dxa"/>
            <w:tcBorders/>
            <w:shd w:fill="CCEEFF" w:val="clear"/>
            <w:vAlign w:val="center"/>
          </w:tcPr>
          <w:p>
            <w:pPr>
              <w:pStyle w:val="TableContents"/>
              <w:bidi w:val="0"/>
              <w:spacing w:before="0" w:after="0"/>
              <w:jc w:val="left"/>
              <w:rPr>
                <w:spacing w:val="0"/>
              </w:rPr>
            </w:pPr>
            <w:r>
              <w:rPr>
                <w:spacing w:val="0"/>
              </w:rPr>
              <w:t>$</w:t>
            </w:r>
          </w:p>
        </w:tc>
        <w:tc>
          <w:tcPr>
            <w:tcW w:w="1066" w:type="dxa"/>
            <w:tcBorders/>
            <w:shd w:fill="CCEEFF" w:val="clear"/>
            <w:vAlign w:val="center"/>
          </w:tcPr>
          <w:p>
            <w:pPr>
              <w:pStyle w:val="TableContents"/>
              <w:bidi w:val="0"/>
              <w:spacing w:before="0" w:after="0"/>
              <w:jc w:val="right"/>
              <w:rPr>
                <w:spacing w:val="0"/>
              </w:rPr>
            </w:pPr>
            <w:r>
              <w:rPr>
                <w:spacing w:val="0"/>
              </w:rPr>
              <w:t>6,415</w:t>
            </w:r>
          </w:p>
        </w:tc>
        <w:tc>
          <w:tcPr>
            <w:tcW w:w="114" w:type="dxa"/>
            <w:tcBorders/>
            <w:shd w:fill="CCEEFF" w:val="clear"/>
            <w:vAlign w:val="center"/>
          </w:tcPr>
          <w:p>
            <w:pPr>
              <w:pStyle w:val="TableContents"/>
              <w:bidi w:val="0"/>
              <w:spacing w:before="0" w:after="0"/>
              <w:jc w:val="left"/>
              <w:rPr>
                <w:spacing w:val="0"/>
              </w:rPr>
            </w:pPr>
            <w:r>
              <w:rPr>
                <w:spacing w:val="0"/>
              </w:rPr>
              <w:t> </w:t>
            </w:r>
          </w:p>
        </w:tc>
        <w:tc>
          <w:tcPr>
            <w:tcW w:w="228" w:type="dxa"/>
            <w:tcBorders/>
            <w:shd w:fill="CCEEFF" w:val="clear"/>
            <w:vAlign w:val="center"/>
          </w:tcPr>
          <w:p>
            <w:pPr>
              <w:pStyle w:val="TableContents"/>
              <w:bidi w:val="0"/>
              <w:spacing w:before="0" w:after="0"/>
              <w:jc w:val="left"/>
              <w:rPr>
                <w:spacing w:val="0"/>
              </w:rPr>
            </w:pPr>
            <w:r>
              <w:rPr>
                <w:spacing w:val="0"/>
              </w:rPr>
              <w:t>  </w:t>
            </w:r>
          </w:p>
        </w:tc>
        <w:tc>
          <w:tcPr>
            <w:tcW w:w="266" w:type="dxa"/>
            <w:tcBorders/>
            <w:shd w:fill="CCEEFF" w:val="clear"/>
            <w:vAlign w:val="center"/>
          </w:tcPr>
          <w:p>
            <w:pPr>
              <w:pStyle w:val="TableContents"/>
              <w:bidi w:val="0"/>
              <w:spacing w:before="0" w:after="0"/>
              <w:jc w:val="left"/>
              <w:rPr>
                <w:spacing w:val="0"/>
              </w:rPr>
            </w:pPr>
            <w:r>
              <w:rPr>
                <w:spacing w:val="0"/>
              </w:rPr>
              <w:t>$</w:t>
            </w:r>
          </w:p>
        </w:tc>
        <w:tc>
          <w:tcPr>
            <w:tcW w:w="1183" w:type="dxa"/>
            <w:tcBorders/>
            <w:shd w:fill="CCEEFF" w:val="clear"/>
            <w:vAlign w:val="center"/>
          </w:tcPr>
          <w:p>
            <w:pPr>
              <w:pStyle w:val="TableContents"/>
              <w:bidi w:val="0"/>
              <w:spacing w:before="0" w:after="0"/>
              <w:jc w:val="right"/>
              <w:rPr>
                <w:spacing w:val="0"/>
              </w:rPr>
            </w:pPr>
            <w:r>
              <w:rPr>
                <w:spacing w:val="0"/>
              </w:rPr>
              <w:t>5,194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3" w:type="dxa"/>
            <w:tcBorders/>
            <w:shd w:fill="CCEEFF" w:val="clear"/>
            <w:vAlign w:val="center"/>
          </w:tcPr>
          <w:p>
            <w:pPr>
              <w:pStyle w:val="TableContents"/>
              <w:bidi w:val="0"/>
              <w:spacing w:before="0" w:after="0"/>
              <w:jc w:val="left"/>
              <w:rPr>
                <w:spacing w:val="0"/>
              </w:rPr>
            </w:pPr>
            <w:r>
              <w:rPr>
                <w:spacing w:val="0"/>
              </w:rPr>
              <w:t>$</w:t>
            </w:r>
          </w:p>
        </w:tc>
        <w:tc>
          <w:tcPr>
            <w:tcW w:w="1076" w:type="dxa"/>
            <w:tcBorders/>
            <w:shd w:fill="CCEEFF" w:val="clear"/>
            <w:vAlign w:val="center"/>
          </w:tcPr>
          <w:p>
            <w:pPr>
              <w:pStyle w:val="TableContents"/>
              <w:bidi w:val="0"/>
              <w:spacing w:before="0" w:after="0"/>
              <w:jc w:val="right"/>
              <w:rPr>
                <w:spacing w:val="0"/>
              </w:rPr>
            </w:pPr>
            <w:r>
              <w:rPr>
                <w:spacing w:val="0"/>
              </w:rPr>
              <w:t> </w:t>
            </w:r>
            <w:r>
              <w:rPr>
                <w:spacing w:val="0"/>
              </w:rPr>
              <w:t>12,684</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174" w:type="dxa"/>
            <w:tcBorders/>
            <w:shd w:fill="CCEEFF" w:val="clear"/>
            <w:vAlign w:val="center"/>
          </w:tcPr>
          <w:p>
            <w:pPr>
              <w:pStyle w:val="TableContents"/>
              <w:bidi w:val="0"/>
              <w:spacing w:before="0" w:after="0"/>
              <w:jc w:val="left"/>
              <w:rPr>
                <w:spacing w:val="0"/>
              </w:rPr>
            </w:pPr>
            <w:r>
              <w:rPr>
                <w:spacing w:val="0"/>
              </w:rPr>
              <w:t>  </w:t>
            </w:r>
          </w:p>
        </w:tc>
        <w:tc>
          <w:tcPr>
            <w:tcW w:w="203" w:type="dxa"/>
            <w:tcBorders/>
            <w:shd w:fill="CCEEFF" w:val="clear"/>
            <w:vAlign w:val="center"/>
          </w:tcPr>
          <w:p>
            <w:pPr>
              <w:pStyle w:val="TableContents"/>
              <w:bidi w:val="0"/>
              <w:spacing w:before="0" w:after="0"/>
              <w:jc w:val="left"/>
              <w:rPr>
                <w:spacing w:val="0"/>
              </w:rPr>
            </w:pPr>
            <w:r>
              <w:rPr>
                <w:spacing w:val="0"/>
              </w:rPr>
              <w:t>$</w:t>
            </w:r>
          </w:p>
        </w:tc>
        <w:tc>
          <w:tcPr>
            <w:tcW w:w="1079" w:type="dxa"/>
            <w:tcBorders/>
            <w:shd w:fill="CCEEFF" w:val="clear"/>
            <w:vAlign w:val="center"/>
          </w:tcPr>
          <w:p>
            <w:pPr>
              <w:pStyle w:val="TableContents"/>
              <w:bidi w:val="0"/>
              <w:spacing w:before="0" w:after="0"/>
              <w:jc w:val="right"/>
              <w:rPr>
                <w:spacing w:val="0"/>
              </w:rPr>
            </w:pPr>
            <w:r>
              <w:rPr>
                <w:spacing w:val="0"/>
              </w:rPr>
              <w:t> </w:t>
            </w:r>
            <w:r>
              <w:rPr>
                <w:spacing w:val="0"/>
              </w:rPr>
              <w:t>10,254</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0"/>
              <w:jc w:val="left"/>
              <w:rPr>
                <w:spacing w:val="0"/>
              </w:rPr>
            </w:pPr>
            <w:r>
              <w:rPr>
                <w:spacing w:val="0"/>
              </w:rPr>
              <w:t> </w:t>
            </w:r>
          </w:p>
        </w:tc>
        <w:tc>
          <w:tcPr>
            <w:tcW w:w="228" w:type="dxa"/>
            <w:tcBorders/>
            <w:vAlign w:val="center"/>
          </w:tcPr>
          <w:p>
            <w:pPr>
              <w:pStyle w:val="TableContents"/>
              <w:bidi w:val="0"/>
              <w:spacing w:before="0" w:after="0"/>
              <w:jc w:val="left"/>
              <w:rPr>
                <w:spacing w:val="0"/>
              </w:rPr>
            </w:pPr>
            <w:r>
              <w:rPr>
                <w:spacing w:val="0"/>
              </w:rPr>
              <w:t>  </w:t>
            </w:r>
          </w:p>
        </w:tc>
        <w:tc>
          <w:tcPr>
            <w:tcW w:w="2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 w:type="dxa"/>
            <w:tcBorders/>
            <w:vAlign w:val="center"/>
          </w:tcPr>
          <w:p>
            <w:pPr>
              <w:pStyle w:val="TableContents"/>
              <w:bidi w:val="0"/>
              <w:spacing w:before="0" w:after="0"/>
              <w:jc w:val="left"/>
              <w:rPr>
                <w:spacing w:val="0"/>
              </w:rPr>
            </w:pPr>
            <w:r>
              <w:rPr>
                <w:spacing w:val="0"/>
              </w:rPr>
              <w:t> </w:t>
            </w:r>
          </w:p>
        </w:tc>
        <w:tc>
          <w:tcPr>
            <w:tcW w:w="174" w:type="dxa"/>
            <w:tcBorders/>
            <w:vAlign w:val="center"/>
          </w:tcPr>
          <w:p>
            <w:pPr>
              <w:pStyle w:val="TableContents"/>
              <w:bidi w:val="0"/>
              <w:spacing w:before="0" w:after="0"/>
              <w:jc w:val="left"/>
              <w:rPr>
                <w:spacing w:val="0"/>
              </w:rPr>
            </w:pPr>
            <w:r>
              <w:rPr>
                <w:spacing w:val="0"/>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Accrued Expenses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as of June 30, 2024 and December 31, 2023, consist of the following (in thousands): </w:t>
      </w:r>
    </w:p>
    <w:p>
      <w:pPr>
        <w:pStyle w:val="TextBody"/>
        <w:bidi w:val="0"/>
        <w:spacing w:before="0" w:after="0"/>
        <w:ind w:left="0" w:right="0" w:hanging="0"/>
        <w:jc w:val="left"/>
        <w:rPr>
          <w:spacing w:val="0"/>
          <w:shd w:fill="FFFFFF" w:val="clear"/>
        </w:rPr>
      </w:pPr>
      <w:r>
        <w:rPr>
          <w:spacing w:val="0"/>
          <w:shd w:fill="FFFFFF" w:val="clear"/>
        </w:rPr>
        <w:t> </w:t>
      </w:r>
    </w:p>
    <w:tbl>
      <w:tblPr>
        <w:tblW w:w="7595" w:type="dxa"/>
        <w:jc w:val="left"/>
        <w:tblInd w:w="0" w:type="dxa"/>
        <w:tblLayout w:type="fixed"/>
        <w:tblCellMar>
          <w:top w:w="0" w:type="dxa"/>
          <w:left w:w="0" w:type="dxa"/>
          <w:bottom w:w="0" w:type="dxa"/>
          <w:right w:w="0" w:type="dxa"/>
        </w:tblCellMar>
      </w:tblPr>
      <w:tblGrid>
        <w:gridCol w:w="3770"/>
        <w:gridCol w:w="120"/>
        <w:gridCol w:w="241"/>
        <w:gridCol w:w="1174"/>
        <w:gridCol w:w="200"/>
        <w:gridCol w:w="60"/>
        <w:gridCol w:w="311"/>
        <w:gridCol w:w="1644"/>
        <w:gridCol w:w="75"/>
      </w:tblGrid>
      <w:tr>
        <w:trPr/>
        <w:tc>
          <w:tcPr>
            <w:tcW w:w="3770"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241" w:type="dxa"/>
            <w:tcBorders/>
            <w:vAlign w:val="center"/>
          </w:tcPr>
          <w:p>
            <w:pPr>
              <w:pStyle w:val="TableContents"/>
              <w:bidi w:val="0"/>
              <w:spacing w:lineRule="atLeast" w:line="142" w:before="0" w:after="0"/>
              <w:jc w:val="left"/>
              <w:rPr>
                <w:spacing w:val="0"/>
              </w:rPr>
            </w:pPr>
            <w:r>
              <w:rPr>
                <w:spacing w:val="0"/>
              </w:rPr>
              <w:t> </w:t>
            </w:r>
          </w:p>
        </w:tc>
        <w:tc>
          <w:tcPr>
            <w:tcW w:w="1174" w:type="dxa"/>
            <w:tcBorders/>
            <w:vAlign w:val="center"/>
          </w:tcPr>
          <w:p>
            <w:pPr>
              <w:pStyle w:val="TableContents"/>
              <w:bidi w:val="0"/>
              <w:spacing w:lineRule="atLeast" w:line="142" w:before="0" w:after="0"/>
              <w:jc w:val="left"/>
              <w:rPr>
                <w:spacing w:val="0"/>
              </w:rPr>
            </w:pPr>
            <w:r>
              <w:rPr>
                <w:spacing w:val="0"/>
              </w:rPr>
              <w:t> </w:t>
            </w:r>
          </w:p>
        </w:tc>
        <w:tc>
          <w:tcPr>
            <w:tcW w:w="200" w:type="dxa"/>
            <w:tcBorders/>
            <w:vAlign w:val="center"/>
          </w:tcPr>
          <w:p>
            <w:pPr>
              <w:pStyle w:val="TableContents"/>
              <w:bidi w:val="0"/>
              <w:spacing w:lineRule="atLeast" w:line="142" w:before="0" w:after="0"/>
              <w:jc w:val="left"/>
              <w:rPr>
                <w:spacing w:val="0"/>
              </w:rPr>
            </w:pPr>
            <w:r>
              <w:rPr>
                <w:spacing w:val="0"/>
              </w:rPr>
              <w:t> </w:t>
            </w:r>
          </w:p>
        </w:tc>
        <w:tc>
          <w:tcPr>
            <w:tcW w:w="60" w:type="dxa"/>
            <w:tcBorders/>
            <w:vAlign w:val="center"/>
          </w:tcPr>
          <w:p>
            <w:pPr>
              <w:pStyle w:val="TableContents"/>
              <w:bidi w:val="0"/>
              <w:spacing w:lineRule="atLeast" w:line="142" w:before="0" w:after="0"/>
              <w:jc w:val="left"/>
              <w:rPr>
                <w:spacing w:val="0"/>
              </w:rPr>
            </w:pPr>
            <w:r>
              <w:rPr>
                <w:spacing w:val="0"/>
              </w:rPr>
              <w:t> </w:t>
            </w:r>
          </w:p>
        </w:tc>
        <w:tc>
          <w:tcPr>
            <w:tcW w:w="311" w:type="dxa"/>
            <w:tcBorders/>
            <w:vAlign w:val="center"/>
          </w:tcPr>
          <w:p>
            <w:pPr>
              <w:pStyle w:val="TableContents"/>
              <w:bidi w:val="0"/>
              <w:spacing w:lineRule="atLeast" w:line="142" w:before="0" w:after="0"/>
              <w:jc w:val="left"/>
              <w:rPr>
                <w:spacing w:val="0"/>
              </w:rPr>
            </w:pPr>
            <w:r>
              <w:rPr>
                <w:spacing w:val="0"/>
              </w:rPr>
              <w:t> </w:t>
            </w:r>
          </w:p>
        </w:tc>
        <w:tc>
          <w:tcPr>
            <w:tcW w:w="1644" w:type="dxa"/>
            <w:tcBorders/>
            <w:vAlign w:val="center"/>
          </w:tcPr>
          <w:p>
            <w:pPr>
              <w:pStyle w:val="TableContents"/>
              <w:bidi w:val="0"/>
              <w:spacing w:lineRule="atLeast" w:line="142" w:before="0" w:after="0"/>
              <w:jc w:val="left"/>
              <w:rPr>
                <w:spacing w:val="0"/>
              </w:rPr>
            </w:pPr>
            <w:r>
              <w:rPr>
                <w:spacing w:val="0"/>
              </w:rPr>
              <w:t> </w:t>
            </w:r>
          </w:p>
        </w:tc>
        <w:tc>
          <w:tcPr>
            <w:tcW w:w="75" w:type="dxa"/>
            <w:tcBorders/>
            <w:vAlign w:val="center"/>
          </w:tcPr>
          <w:p>
            <w:pPr>
              <w:pStyle w:val="TableContents"/>
              <w:bidi w:val="0"/>
              <w:spacing w:lineRule="atLeast" w:line="142" w:before="0" w:after="0"/>
              <w:jc w:val="left"/>
              <w:rPr>
                <w:spacing w:val="0"/>
              </w:rPr>
            </w:pPr>
            <w:r>
              <w:rPr>
                <w:spacing w:val="0"/>
              </w:rPr>
              <w:t> </w:t>
            </w:r>
          </w:p>
        </w:tc>
      </w:tr>
      <w:tr>
        <w:trPr/>
        <w:tc>
          <w:tcPr>
            <w:tcW w:w="37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June 30, 2024</w:t>
            </w:r>
          </w:p>
        </w:tc>
        <w:tc>
          <w:tcPr>
            <w:tcW w:w="20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0"/>
              <w:jc w:val="left"/>
              <w:rPr>
                <w:spacing w:val="0"/>
              </w:rPr>
            </w:pPr>
            <w:r>
              <w:rPr>
                <w:spacing w:val="0"/>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compensation and employee benefits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w:t>
            </w:r>
          </w:p>
        </w:tc>
        <w:tc>
          <w:tcPr>
            <w:tcW w:w="1174" w:type="dxa"/>
            <w:tcBorders/>
            <w:shd w:fill="CCEEFF" w:val="clear"/>
            <w:vAlign w:val="center"/>
          </w:tcPr>
          <w:p>
            <w:pPr>
              <w:pStyle w:val="TableContents"/>
              <w:bidi w:val="0"/>
              <w:spacing w:before="0" w:after="0"/>
              <w:jc w:val="right"/>
              <w:rPr>
                <w:spacing w:val="0"/>
              </w:rPr>
            </w:pPr>
            <w:r>
              <w:rPr>
                <w:spacing w:val="0"/>
              </w:rPr>
              <w:t>18,532</w:t>
            </w:r>
          </w:p>
        </w:tc>
        <w:tc>
          <w:tcPr>
            <w:tcW w:w="20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11" w:type="dxa"/>
            <w:tcBorders/>
            <w:shd w:fill="CCEEFF" w:val="clear"/>
            <w:vAlign w:val="center"/>
          </w:tcPr>
          <w:p>
            <w:pPr>
              <w:pStyle w:val="TableContents"/>
              <w:bidi w:val="0"/>
              <w:spacing w:before="0" w:after="0"/>
              <w:jc w:val="left"/>
              <w:rPr>
                <w:spacing w:val="0"/>
              </w:rPr>
            </w:pPr>
            <w:r>
              <w:rPr>
                <w:spacing w:val="0"/>
              </w:rPr>
              <w:t>$</w:t>
            </w:r>
          </w:p>
        </w:tc>
        <w:tc>
          <w:tcPr>
            <w:tcW w:w="1644" w:type="dxa"/>
            <w:tcBorders/>
            <w:shd w:fill="CCEEFF" w:val="clear"/>
            <w:vAlign w:val="center"/>
          </w:tcPr>
          <w:p>
            <w:pPr>
              <w:pStyle w:val="TableContents"/>
              <w:bidi w:val="0"/>
              <w:spacing w:before="0" w:after="0"/>
              <w:jc w:val="right"/>
              <w:rPr>
                <w:spacing w:val="0"/>
              </w:rPr>
            </w:pPr>
            <w:r>
              <w:rPr>
                <w:spacing w:val="0"/>
              </w:rPr>
              <w:t> </w:t>
            </w:r>
            <w:r>
              <w:rPr>
                <w:spacing w:val="0"/>
              </w:rPr>
              <w:t>21,950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4" w:type="dxa"/>
            <w:tcBorders/>
            <w:vAlign w:val="center"/>
          </w:tcPr>
          <w:p>
            <w:pPr>
              <w:pStyle w:val="TableContents"/>
              <w:bidi w:val="0"/>
              <w:spacing w:before="0" w:after="0"/>
              <w:jc w:val="right"/>
              <w:rPr>
                <w:spacing w:val="0"/>
              </w:rPr>
            </w:pPr>
            <w:r>
              <w:rPr>
                <w:spacing w:val="0"/>
              </w:rPr>
              <w:t>44,053</w:t>
            </w:r>
          </w:p>
        </w:tc>
        <w:tc>
          <w:tcPr>
            <w:tcW w:w="20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11" w:type="dxa"/>
            <w:tcBorders/>
            <w:vAlign w:val="center"/>
          </w:tcPr>
          <w:p>
            <w:pPr>
              <w:pStyle w:val="TableContents"/>
              <w:bidi w:val="0"/>
              <w:spacing w:before="0" w:after="0"/>
              <w:jc w:val="left"/>
              <w:rPr>
                <w:spacing w:val="0"/>
              </w:rPr>
            </w:pPr>
            <w:r>
              <w:rPr>
                <w:spacing w:val="0"/>
              </w:rPr>
              <w:t> </w:t>
            </w:r>
          </w:p>
        </w:tc>
        <w:tc>
          <w:tcPr>
            <w:tcW w:w="1644" w:type="dxa"/>
            <w:tcBorders/>
            <w:vAlign w:val="center"/>
          </w:tcPr>
          <w:p>
            <w:pPr>
              <w:pStyle w:val="TableContents"/>
              <w:bidi w:val="0"/>
              <w:spacing w:before="0" w:after="0"/>
              <w:jc w:val="right"/>
              <w:rPr>
                <w:spacing w:val="0"/>
              </w:rPr>
            </w:pPr>
            <w:r>
              <w:rPr>
                <w:spacing w:val="0"/>
              </w:rPr>
              <w:t>37,783</w:t>
            </w:r>
          </w:p>
        </w:tc>
        <w:tc>
          <w:tcPr>
            <w:tcW w:w="75" w:type="dxa"/>
            <w:tcBorders/>
            <w:vAlign w:val="center"/>
          </w:tcPr>
          <w:p>
            <w:pPr>
              <w:pStyle w:val="TableContents"/>
              <w:bidi w:val="0"/>
              <w:spacing w:before="0" w:after="0"/>
              <w:jc w:val="left"/>
              <w:rPr>
                <w:spacing w:val="0"/>
              </w:rPr>
            </w:pPr>
            <w:r>
              <w:rPr>
                <w:spacing w:val="0"/>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cloud storage costs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 </w:t>
            </w:r>
          </w:p>
        </w:tc>
        <w:tc>
          <w:tcPr>
            <w:tcW w:w="1174" w:type="dxa"/>
            <w:tcBorders/>
            <w:shd w:fill="CCEEFF" w:val="clear"/>
            <w:vAlign w:val="center"/>
          </w:tcPr>
          <w:p>
            <w:pPr>
              <w:pStyle w:val="TableContents"/>
              <w:bidi w:val="0"/>
              <w:spacing w:before="0" w:after="0"/>
              <w:jc w:val="right"/>
              <w:rPr>
                <w:spacing w:val="0"/>
              </w:rPr>
            </w:pPr>
            <w:r>
              <w:rPr>
                <w:spacing w:val="0"/>
              </w:rPr>
              <w:t>13,723</w:t>
            </w:r>
          </w:p>
        </w:tc>
        <w:tc>
          <w:tcPr>
            <w:tcW w:w="20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11" w:type="dxa"/>
            <w:tcBorders/>
            <w:shd w:fill="CCEEFF" w:val="clear"/>
            <w:vAlign w:val="center"/>
          </w:tcPr>
          <w:p>
            <w:pPr>
              <w:pStyle w:val="TableContents"/>
              <w:bidi w:val="0"/>
              <w:spacing w:before="0" w:after="0"/>
              <w:jc w:val="left"/>
              <w:rPr>
                <w:spacing w:val="0"/>
              </w:rPr>
            </w:pPr>
            <w:r>
              <w:rPr>
                <w:spacing w:val="0"/>
              </w:rPr>
              <w:t> </w:t>
            </w:r>
          </w:p>
        </w:tc>
        <w:tc>
          <w:tcPr>
            <w:tcW w:w="1644" w:type="dxa"/>
            <w:tcBorders/>
            <w:shd w:fill="CCEEFF" w:val="clear"/>
            <w:vAlign w:val="center"/>
          </w:tcPr>
          <w:p>
            <w:pPr>
              <w:pStyle w:val="TableContents"/>
              <w:bidi w:val="0"/>
              <w:spacing w:before="0" w:after="0"/>
              <w:jc w:val="right"/>
              <w:rPr>
                <w:spacing w:val="0"/>
              </w:rPr>
            </w:pPr>
            <w:r>
              <w:rPr>
                <w:spacing w:val="0"/>
              </w:rPr>
              <w:t>13,921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payable</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rPr>
            </w:pPr>
            <w:r>
              <w:rPr>
                <w:spacing w:val="0"/>
              </w:rPr>
              <w:t> </w:t>
            </w:r>
          </w:p>
        </w:tc>
        <w:tc>
          <w:tcPr>
            <w:tcW w:w="1174" w:type="dxa"/>
            <w:tcBorders/>
            <w:vAlign w:val="center"/>
          </w:tcPr>
          <w:p>
            <w:pPr>
              <w:pStyle w:val="TableContents"/>
              <w:bidi w:val="0"/>
              <w:spacing w:before="0" w:after="0"/>
              <w:jc w:val="right"/>
              <w:rPr>
                <w:spacing w:val="0"/>
              </w:rPr>
            </w:pPr>
            <w:r>
              <w:rPr>
                <w:spacing w:val="0"/>
              </w:rPr>
              <w:t>8,877</w:t>
            </w:r>
          </w:p>
        </w:tc>
        <w:tc>
          <w:tcPr>
            <w:tcW w:w="20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11" w:type="dxa"/>
            <w:tcBorders/>
            <w:vAlign w:val="center"/>
          </w:tcPr>
          <w:p>
            <w:pPr>
              <w:pStyle w:val="TableContents"/>
              <w:bidi w:val="0"/>
              <w:spacing w:before="0" w:after="0"/>
              <w:jc w:val="left"/>
              <w:rPr>
                <w:spacing w:val="0"/>
              </w:rPr>
            </w:pPr>
            <w:r>
              <w:rPr>
                <w:spacing w:val="0"/>
              </w:rPr>
              <w:t> </w:t>
            </w:r>
          </w:p>
        </w:tc>
        <w:tc>
          <w:tcPr>
            <w:tcW w:w="1644" w:type="dxa"/>
            <w:tcBorders/>
            <w:vAlign w:val="center"/>
          </w:tcPr>
          <w:p>
            <w:pPr>
              <w:pStyle w:val="TableContents"/>
              <w:bidi w:val="0"/>
              <w:spacing w:before="0" w:after="0"/>
              <w:jc w:val="right"/>
              <w:rPr>
                <w:spacing w:val="0"/>
              </w:rPr>
            </w:pPr>
            <w:r>
              <w:rPr>
                <w:spacing w:val="0"/>
              </w:rPr>
              <w:t>8,863</w:t>
            </w:r>
          </w:p>
        </w:tc>
        <w:tc>
          <w:tcPr>
            <w:tcW w:w="75" w:type="dxa"/>
            <w:tcBorders/>
            <w:vAlign w:val="center"/>
          </w:tcPr>
          <w:p>
            <w:pPr>
              <w:pStyle w:val="TableContents"/>
              <w:bidi w:val="0"/>
              <w:spacing w:before="0" w:after="0"/>
              <w:jc w:val="left"/>
              <w:rPr>
                <w:spacing w:val="0"/>
              </w:rPr>
            </w:pPr>
            <w:r>
              <w:rPr>
                <w:spacing w:val="0"/>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accrued expenses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41" w:type="dxa"/>
            <w:tcBorders/>
            <w:shd w:fill="CCEEFF" w:val="clear"/>
            <w:vAlign w:val="center"/>
          </w:tcPr>
          <w:p>
            <w:pPr>
              <w:pStyle w:val="TableContents"/>
              <w:bidi w:val="0"/>
              <w:spacing w:before="0" w:after="0"/>
              <w:jc w:val="left"/>
              <w:rPr>
                <w:spacing w:val="0"/>
              </w:rPr>
            </w:pPr>
            <w:r>
              <w:rPr>
                <w:spacing w:val="0"/>
              </w:rPr>
              <w:t>$</w:t>
            </w:r>
          </w:p>
        </w:tc>
        <w:tc>
          <w:tcPr>
            <w:tcW w:w="1174" w:type="dxa"/>
            <w:tcBorders/>
            <w:shd w:fill="CCEEFF" w:val="clear"/>
            <w:vAlign w:val="center"/>
          </w:tcPr>
          <w:p>
            <w:pPr>
              <w:pStyle w:val="TableContents"/>
              <w:bidi w:val="0"/>
              <w:spacing w:before="0" w:after="0"/>
              <w:jc w:val="right"/>
              <w:rPr>
                <w:spacing w:val="0"/>
              </w:rPr>
            </w:pPr>
            <w:r>
              <w:rPr>
                <w:spacing w:val="0"/>
              </w:rPr>
              <w:t>85,185</w:t>
            </w:r>
          </w:p>
        </w:tc>
        <w:tc>
          <w:tcPr>
            <w:tcW w:w="20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11" w:type="dxa"/>
            <w:tcBorders/>
            <w:shd w:fill="CCEEFF" w:val="clear"/>
            <w:vAlign w:val="center"/>
          </w:tcPr>
          <w:p>
            <w:pPr>
              <w:pStyle w:val="TableContents"/>
              <w:bidi w:val="0"/>
              <w:spacing w:before="0" w:after="0"/>
              <w:jc w:val="left"/>
              <w:rPr>
                <w:spacing w:val="0"/>
              </w:rPr>
            </w:pPr>
            <w:r>
              <w:rPr>
                <w:spacing w:val="0"/>
              </w:rPr>
              <w:t>$</w:t>
            </w:r>
          </w:p>
        </w:tc>
        <w:tc>
          <w:tcPr>
            <w:tcW w:w="1644" w:type="dxa"/>
            <w:tcBorders/>
            <w:shd w:fill="CCEEFF" w:val="clear"/>
            <w:vAlign w:val="center"/>
          </w:tcPr>
          <w:p>
            <w:pPr>
              <w:pStyle w:val="TableContents"/>
              <w:bidi w:val="0"/>
              <w:spacing w:before="0" w:after="0"/>
              <w:jc w:val="right"/>
              <w:rPr>
                <w:spacing w:val="0"/>
              </w:rPr>
            </w:pPr>
            <w:r>
              <w:rPr>
                <w:spacing w:val="0"/>
              </w:rPr>
              <w:t>82,517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hd w:fill="FFFFFF" w:val="clear"/>
        </w:rPr>
      </w:pPr>
      <w:r>
        <w:rPr>
          <w:shd w:fill="FFFFFF" w:val="clear"/>
        </w:rPr>
        <w:t> </w:t>
      </w:r>
    </w:p>
    <w:tbl>
      <w:tblPr>
        <w:tblW w:w="3265" w:type="dxa"/>
        <w:jc w:val="left"/>
        <w:tblInd w:w="0" w:type="dxa"/>
        <w:tblLayout w:type="fixed"/>
        <w:tblCellMar>
          <w:top w:w="0" w:type="dxa"/>
          <w:left w:w="0" w:type="dxa"/>
          <w:bottom w:w="0" w:type="dxa"/>
          <w:right w:w="0" w:type="dxa"/>
        </w:tblCellMar>
      </w:tblPr>
      <w:tblGrid>
        <w:gridCol w:w="215"/>
        <w:gridCol w:w="3050"/>
      </w:tblGrid>
      <w:tr>
        <w:trPr/>
        <w:tc>
          <w:tcPr>
            <w:tcW w:w="215" w:type="dxa"/>
            <w:tcBorders/>
            <w:vAlign w:val="center"/>
          </w:tcPr>
          <w:p>
            <w:pPr>
              <w:pStyle w:val="TableContents"/>
              <w:bidi w:val="0"/>
              <w:spacing w:before="0" w:after="0"/>
              <w:jc w:val="left"/>
              <w:rPr>
                <w:b/>
                <w:spacing w:val="0"/>
              </w:rPr>
            </w:pPr>
            <w:r>
              <w:rPr>
                <w:b/>
                <w:spacing w:val="0"/>
              </w:rPr>
              <w:t>6.</w:t>
            </w:r>
          </w:p>
        </w:tc>
        <w:tc>
          <w:tcPr>
            <w:tcW w:w="30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AND INTANGIBLES </w:t>
            </w:r>
          </w:p>
        </w:tc>
      </w:tr>
    </w:tbl>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Goodwill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Goodwill represents the excess of the purchase price in a business combination over the fair value of net tangible and intangible assets acquired. There were no goodwill additions for the three months ended June 30, 2024 and 2023, or for the six months ended June 30, 2024. During the six months ended June 30, 2023, goodwill of $10.6 million was recorded in connection with the acquisition of Mpirik. The Company recorded no impairment loss during the three and six months ended June 30, 2024 and 2023.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Intangible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During the six months</w:t>
      </w:r>
    </w:p>
    <w:p>
      <w:pPr>
        <w:pStyle w:val="TextBody"/>
        <w:bidi w:val="0"/>
        <w:spacing w:before="0" w:after="0"/>
        <w:ind w:left="0" w:right="0" w:hanging="0"/>
        <w:jc w:val="left"/>
        <w:rPr>
          <w:spacing w:val="0"/>
          <w:shd w:fill="FFFFFF" w:val="clear"/>
        </w:rPr>
      </w:pPr>
      <w:r>
        <w:rPr>
          <w:spacing w:val="0"/>
          <w:shd w:fill="FFFFFF" w:val="clear"/>
        </w:rPr>
        <w:t> </w:t>
      </w:r>
      <w:r>
        <w:rPr>
          <w:rFonts w:ascii="Times New Roman" w:hAnsi="Times New Roman"/>
          <w:spacing w:val="0"/>
          <w:sz w:val="20"/>
          <w:shd w:fill="FFFFFF" w:val="clear"/>
        </w:rPr>
        <w:t>ended</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June 30, 2023, the Company recorded an additional</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$3.8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in licensed data related to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de-identified</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data obtained through an additional agreement. During the three months ended June 30, 2024 and 2023 and the six months ended June 30, 2024, the Company did not record any additions in licensed data.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six mon</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hs ended June 30, 2023. A $7.9 million gain resulting from the related reduction of future data license payments was also recorded in Research and development during the six months ended June 30, 2023. The impairment resulted in a reduction of $40.1 million and $32.7 million to gross intangible assets and accumulated amortization, respectively. There were no impairment charges recognized related to intangible assets during the three months ended June 30, 2024 and 2023, respectively, or the six months ended June 30, 2024.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intangible assets as of June 30, 2024 and December 31, 2023 (in thousands): </w:t>
      </w:r>
    </w:p>
    <w:p>
      <w:pPr>
        <w:pStyle w:val="TextBody"/>
        <w:bidi w:val="0"/>
        <w:spacing w:before="0" w:after="0"/>
        <w:ind w:left="0" w:right="0" w:hanging="0"/>
        <w:jc w:val="left"/>
        <w:rPr>
          <w:shd w:fill="FFFFFF" w:val="clear"/>
        </w:rPr>
      </w:pPr>
      <w:r>
        <w:rPr>
          <w:shd w:fill="FFFFFF" w:val="clear"/>
        </w:rPr>
        <w:t> </w:t>
      </w:r>
    </w:p>
    <w:tbl>
      <w:tblPr>
        <w:tblW w:w="9265" w:type="dxa"/>
        <w:jc w:val="left"/>
        <w:tblInd w:w="0" w:type="dxa"/>
        <w:tblLayout w:type="fixed"/>
        <w:tblCellMar>
          <w:top w:w="0" w:type="dxa"/>
          <w:left w:w="0" w:type="dxa"/>
          <w:bottom w:w="0" w:type="dxa"/>
          <w:right w:w="0" w:type="dxa"/>
        </w:tblCellMar>
      </w:tblPr>
      <w:tblGrid>
        <w:gridCol w:w="1910"/>
        <w:gridCol w:w="120"/>
        <w:gridCol w:w="140"/>
        <w:gridCol w:w="740"/>
        <w:gridCol w:w="60"/>
        <w:gridCol w:w="120"/>
        <w:gridCol w:w="217"/>
        <w:gridCol w:w="1153"/>
        <w:gridCol w:w="60"/>
        <w:gridCol w:w="120"/>
        <w:gridCol w:w="140"/>
        <w:gridCol w:w="740"/>
        <w:gridCol w:w="60"/>
        <w:gridCol w:w="120"/>
        <w:gridCol w:w="140"/>
        <w:gridCol w:w="740"/>
        <w:gridCol w:w="60"/>
        <w:gridCol w:w="120"/>
        <w:gridCol w:w="217"/>
        <w:gridCol w:w="1153"/>
        <w:gridCol w:w="60"/>
        <w:gridCol w:w="120"/>
        <w:gridCol w:w="140"/>
        <w:gridCol w:w="740"/>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20,550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 </w:t>
            </w:r>
            <w:r>
              <w:rPr/>
              <w:t>13,913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6,637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20,550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 </w:t>
            </w:r>
            <w:r>
              <w:rPr/>
              <w:t>12,219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8,331</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Licensed data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19,321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14,868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4,453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19,321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11,469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7,852</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Website domain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2,857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5,143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2,286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5,714</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5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5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47,891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31,638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16,252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47,890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25,974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21,916</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115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115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Amortization of intangible assets is recognized using the straight-line method over their estimated useful lives, which range from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three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to seven years. Amortization expense was $2.8 million and $3.1 million for the three months ended June 30, 2024 and 2023, respectively, and $5.7 million and $6.0 million for the six months ended June 30, 2024 and 2023, respectively, and is recorded in cost of revenues, research and development, or selling, general and administrative expense, depending on use of the asset. The weighted average life of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Company’s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intangibles is approximately six years. </w:t>
      </w:r>
    </w:p>
    <w:p>
      <w:pPr>
        <w:pStyle w:val="TextBody"/>
        <w:bidi w:val="0"/>
        <w:spacing w:before="0" w:after="0"/>
        <w:ind w:left="0" w:right="0" w:hanging="0"/>
        <w:jc w:val="left"/>
        <w:rPr>
          <w:shd w:fill="FFFFFF" w:val="clear"/>
        </w:rPr>
      </w:pPr>
      <w:r>
        <w:rPr>
          <w:shd w:fill="FFFFFF" w:val="clear"/>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0"/>
              <w:jc w:val="left"/>
              <w:rPr>
                <w:b/>
                <w:spacing w:val="0"/>
              </w:rPr>
            </w:pPr>
            <w:r>
              <w:rPr>
                <w:b/>
                <w:spacing w:val="0"/>
              </w:rPr>
              <w:t>7.</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Legal Matters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From time to time in the normal course of business, the Company may be subject to various legal matters such as threatened or pending claims or proceedings. There were no material such matters as of and for the three and six months ended June 30, 2024 and 2023. </w:t>
      </w:r>
    </w:p>
    <w:p>
      <w:pPr>
        <w:pStyle w:val="TextBody"/>
        <w:bidi w:val="0"/>
        <w:spacing w:before="0" w:after="0"/>
        <w:ind w:left="0" w:right="0" w:hanging="0"/>
        <w:jc w:val="left"/>
        <w:rPr>
          <w:shd w:fill="FFFFFF" w:val="clear"/>
        </w:rPr>
      </w:pPr>
      <w:r>
        <w:rPr>
          <w:shd w:fill="FFFFFF" w:val="clear"/>
        </w:rPr>
        <w:t> </w:t>
      </w:r>
    </w:p>
    <w:tbl>
      <w:tblPr>
        <w:tblW w:w="2785" w:type="dxa"/>
        <w:jc w:val="left"/>
        <w:tblInd w:w="0" w:type="dxa"/>
        <w:tblLayout w:type="fixed"/>
        <w:tblCellMar>
          <w:top w:w="0" w:type="dxa"/>
          <w:left w:w="0" w:type="dxa"/>
          <w:bottom w:w="0" w:type="dxa"/>
          <w:right w:w="0" w:type="dxa"/>
        </w:tblCellMar>
      </w:tblPr>
      <w:tblGrid>
        <w:gridCol w:w="215"/>
        <w:gridCol w:w="2570"/>
      </w:tblGrid>
      <w:tr>
        <w:trPr/>
        <w:tc>
          <w:tcPr>
            <w:tcW w:w="215" w:type="dxa"/>
            <w:tcBorders/>
            <w:vAlign w:val="center"/>
          </w:tcPr>
          <w:p>
            <w:pPr>
              <w:pStyle w:val="TableContents"/>
              <w:bidi w:val="0"/>
              <w:spacing w:before="0" w:after="0"/>
              <w:jc w:val="left"/>
              <w:rPr>
                <w:b/>
                <w:spacing w:val="0"/>
              </w:rPr>
            </w:pPr>
            <w:r>
              <w:rPr>
                <w:b/>
                <w:spacing w:val="0"/>
              </w:rPr>
              <w:t>8.</w:t>
            </w:r>
          </w:p>
        </w:tc>
        <w:tc>
          <w:tcPr>
            <w:tcW w:w="25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STOCKHOLDERS’ EQUITY </w:t>
            </w:r>
          </w:p>
        </w:tc>
      </w:tr>
    </w:tbl>
    <w:p>
      <w:pPr>
        <w:pStyle w:val="TextBody"/>
        <w:bidi w:val="0"/>
        <w:spacing w:before="12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Common Stock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Prior to the IPO, the Company had authorized two classes of common stock, voting and non-voting. In March</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2021, the Company amended its certificate of incorporation to bifurcate the voting common stock into two classes, Class A common stock and Class B common stock. As of December 31, 2023, the Company had authorized 200,228,024 shares of Class A common stock, 5,374,899 shares of Class B common stock, and 63,946,627 shares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common stock. In April 2024, the Company increased the number of authorized shares of Class A common stock to 204,590,500 in conjunction with the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G-5</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financing (see Note 9, Redeemable Convertible Preferred Stock). In connection with the IPO, the Restated Certificate became effective, which authorized 1,000,000,000 shares of Class A common stock, 5,500,000 shares of Class B common stock, and 20,000,000 shares of preferred stock.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18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Class A common stock and Class B common stock are collectively referred to as “Common Stock” throughout the notes to these unaudited interim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con</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densed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consolidated financial statements unless otherwise noted.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rights of the holders of Class A common stock and Class B common stock are identical, except with respect to voting. Each share of Class A common stock is entitled to one vote per share and each share of Class B common stock is entitled to thirty votes per share. Prior to the IPO, the Company also had shares of non-voting common stock authorized and outstanding, which were not entitled to any voting rights. Following the IPO, no shares of non-voting common stock are authorized or outstanding.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Each share of Class B common stock is convertible at any time at the option of the holder into one share of Class A common stock.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Under the Restated Certificate, any holder’s shares of Class B common stock will convert automatically into Class A common</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stock, on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one-to-one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the twenty-year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anniversary of the filing of the Restated Certificate, which was filed with the Secretary of State of the State of Delaware on June 17, 2024; (3) the date on which Mr. Lefkofsky is no longer providing services to the Company as an executive officer or member of the board of directors; and (4) the trading day that is no less than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90 days and no more than 150 days following the date that Mr. Lefkofsky and his controlled entities hold, in the aggregate, fewer than 10,000,000 shares of the Company’s capital stock (as adjusted for stock splits, stock dividends, combinations, subdivisions and recapitalizations).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Once transferred and converted into Class A common stock, the Class B common stock may not be reissued.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issues stock-based awards to its employees in the form of stock options, restricted stock units, performance stock units and restricted stock, all of which have the potential to increase the outstanding shares of common stock in the future (see Note 10, Stock-Based Compensation).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Upon any liquidation, dissolution, or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winding-up,</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Common Stock Warrant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 connection with the MSA with AstraZeneca, the Company granted AstraZeneca warrants to purchase</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$100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in shares of the Company’s Class A common stock at an exercise price equal to the IPO price of $37.00 per share. The number of shares of Class A common stock issuable upon exercise of the warrant is 2,702,703, based on the IPO price of $37.00 per share.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19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$220 million to $320 million through December 2028.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 December 8, 2023, the Company issued Allen a warrant to purchase</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150,000 shares of the Company’s Class A common stock at a price per share of $10.00.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 In connection with the IPO, the Company issued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109,459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shares of Class A common stock upon the net exercise of the warrant.</w:t>
      </w:r>
    </w:p>
    <w:p>
      <w:pPr>
        <w:pStyle w:val="TextBody"/>
        <w:bidi w:val="0"/>
        <w:spacing w:before="24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Treasury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2023, the Company repurchased 145,466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common stock previously issued to the former owners of AKESOgen, Inc., which the Company acquired in December 2019. These shares were accounted for as treasury stock. The Company records treasury stock at cost. </w:t>
      </w:r>
    </w:p>
    <w:p>
      <w:pPr>
        <w:pStyle w:val="TextBody"/>
        <w:bidi w:val="0"/>
        <w:spacing w:before="0" w:after="0"/>
        <w:ind w:left="0" w:right="0" w:hanging="0"/>
        <w:jc w:val="left"/>
        <w:rPr>
          <w:shd w:fill="FFFFFF" w:val="clear"/>
        </w:rPr>
      </w:pPr>
      <w:r>
        <w:rPr>
          <w:shd w:fill="FFFFFF" w:val="clear"/>
        </w:rPr>
        <w:t> </w:t>
      </w:r>
    </w:p>
    <w:tbl>
      <w:tblPr>
        <w:tblW w:w="5125" w:type="dxa"/>
        <w:jc w:val="left"/>
        <w:tblInd w:w="0" w:type="dxa"/>
        <w:tblLayout w:type="fixed"/>
        <w:tblCellMar>
          <w:top w:w="0" w:type="dxa"/>
          <w:left w:w="0" w:type="dxa"/>
          <w:bottom w:w="0" w:type="dxa"/>
          <w:right w:w="0" w:type="dxa"/>
        </w:tblCellMar>
      </w:tblPr>
      <w:tblGrid>
        <w:gridCol w:w="215"/>
        <w:gridCol w:w="4910"/>
      </w:tblGrid>
      <w:tr>
        <w:trPr/>
        <w:tc>
          <w:tcPr>
            <w:tcW w:w="215" w:type="dxa"/>
            <w:tcBorders/>
            <w:vAlign w:val="center"/>
          </w:tcPr>
          <w:p>
            <w:pPr>
              <w:pStyle w:val="TableContents"/>
              <w:bidi w:val="0"/>
              <w:spacing w:before="0" w:after="0"/>
              <w:jc w:val="left"/>
              <w:rPr>
                <w:b/>
                <w:spacing w:val="0"/>
              </w:rPr>
            </w:pPr>
            <w:r>
              <w:rPr>
                <w:b/>
                <w:spacing w:val="0"/>
              </w:rPr>
              <w:t>9.</w:t>
            </w:r>
          </w:p>
        </w:tc>
        <w:tc>
          <w:tcPr>
            <w:tcW w:w="49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REDEEMABLE CONVERTIBLE PREFERRED STOCK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January 2023, the Company issued 47,781 shares of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G-3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convertible preferred stock as payment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paid-in-kind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dividends.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January 2024, the Company issued 66,465 shares of Series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G-3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convertible preferred stock and 10,666 shares of Series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G-4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convertible preferred stock as payment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paid-in-kind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dividends.</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In October 2023, the Company issued 785,245 shares of Series G-4 convertible preferred stock (“Series G-4 Preferred”) for aggregate proceeds of $45.0 million. Each share ha</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d</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 par value of $0.0001. Under the terms of Series G-4 Preferred, holders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Following the Company’s IPO, the average ten day trading price was less than 110% of the price per share of Class A common stock so</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ld</w:t>
      </w:r>
    </w:p>
    <w:p>
      <w:pPr>
        <w:pStyle w:val="TextBody"/>
        <w:bidi w:val="0"/>
        <w:spacing w:before="240" w:after="0"/>
        <w:jc w:val="left"/>
        <w:rPr>
          <w:spacing w:val="0"/>
          <w:shd w:fill="FFFFFF" w:val="clear"/>
        </w:rPr>
      </w:pPr>
      <w:r>
        <w:rPr>
          <w:spacing w:val="0"/>
          <w:shd w:fill="FFFFFF" w:val="clear"/>
        </w:rPr>
        <w:t> </w:t>
      </w:r>
      <w:r>
        <w:rPr>
          <w:rFonts w:ascii="Times New Roman" w:hAnsi="Times New Roman"/>
          <w:spacing w:val="0"/>
          <w:sz w:val="20"/>
          <w:shd w:fill="FFFFFF" w:val="clear"/>
        </w:rPr>
        <w:t xml:space="preserve">in the IPO. As such, holders of Series G-4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Preferred</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are owed an aggregate payment of $2.3 million, which is recorded in Accrued expenses as of June 30, 2024.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April 2024, the Company issued 3,489,981 shares of Series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G-5</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convertible preferred stock (“Series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G-5</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Preferred”) for aggregate proceeds of $200.0 million. Each share has a par value of $0.0001. The Company will use the proceeds for working capital and general corporate purposes.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20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connection with the IPO, all of the Company’s then-outstanding shares of redeemable convertible preferred stock and accrued but unpaid dividends were automatically converted into</w:t>
      </w:r>
    </w:p>
    <w:p>
      <w:pPr>
        <w:pStyle w:val="TextBody"/>
        <w:bidi w:val="0"/>
        <w:spacing w:before="0" w:after="0"/>
        <w:jc w:val="left"/>
        <w:rPr>
          <w:spacing w:val="0"/>
          <w:shd w:fill="FFFFFF" w:val="clear"/>
        </w:rPr>
      </w:pPr>
      <w:r>
        <w:rPr>
          <w:spacing w:val="0"/>
          <w:shd w:fill="FFFFFF" w:val="clear"/>
        </w:rPr>
        <w:t> </w:t>
      </w:r>
      <w:r>
        <w:rPr>
          <w:rFonts w:ascii="Times New Roman" w:hAnsi="Times New Roman"/>
          <w:spacing w:val="0"/>
          <w:sz w:val="20"/>
          <w:shd w:fill="FFFFFF" w:val="clear"/>
        </w:rPr>
        <w:t>71,976,178 shares of Class A voting common stock and 5,043,789 shares of Class B voting common stock.</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Redeemable convertible preferred stock outstanding as of December 31, 2023 consisted of the following (in thousands, except share amounts): </w:t>
      </w:r>
    </w:p>
    <w:p>
      <w:pPr>
        <w:pStyle w:val="TextBody"/>
        <w:bidi w:val="0"/>
        <w:spacing w:before="0" w:after="0"/>
        <w:ind w:left="0" w:right="0" w:hanging="0"/>
        <w:jc w:val="left"/>
        <w:rPr>
          <w:spacing w:val="0"/>
          <w:shd w:fill="FFFFFF" w:val="clear"/>
        </w:rPr>
      </w:pPr>
      <w:r>
        <w:rPr>
          <w:spacing w:val="0"/>
          <w:shd w:fill="FFFFFF" w:val="clear"/>
        </w:rPr>
        <w:t> </w:t>
      </w:r>
    </w:p>
    <w:tbl>
      <w:tblPr>
        <w:tblW w:w="9380" w:type="dxa"/>
        <w:jc w:val="left"/>
        <w:tblInd w:w="0" w:type="dxa"/>
        <w:tblLayout w:type="fixed"/>
        <w:tblCellMar>
          <w:top w:w="0" w:type="dxa"/>
          <w:left w:w="0" w:type="dxa"/>
          <w:bottom w:w="0" w:type="dxa"/>
          <w:right w:w="0" w:type="dxa"/>
        </w:tblCellMar>
      </w:tblPr>
      <w:tblGrid>
        <w:gridCol w:w="2690"/>
        <w:gridCol w:w="120"/>
        <w:gridCol w:w="1040"/>
        <w:gridCol w:w="120"/>
        <w:gridCol w:w="60"/>
        <w:gridCol w:w="1115"/>
        <w:gridCol w:w="60"/>
        <w:gridCol w:w="120"/>
        <w:gridCol w:w="66"/>
        <w:gridCol w:w="1214"/>
        <w:gridCol w:w="60"/>
        <w:gridCol w:w="120"/>
        <w:gridCol w:w="152"/>
        <w:gridCol w:w="1068"/>
        <w:gridCol w:w="60"/>
        <w:gridCol w:w="120"/>
        <w:gridCol w:w="140"/>
        <w:gridCol w:w="980"/>
        <w:gridCol w:w="75"/>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335" w:type="dxa"/>
            <w:gridSpan w:val="14"/>
            <w:tcBorders/>
            <w:vAlign w:val="center"/>
          </w:tcPr>
          <w:p>
            <w:pPr>
              <w:pStyle w:val="TableContents"/>
              <w:bidi w:val="0"/>
              <w:spacing w:before="0" w:after="0"/>
              <w:jc w:val="center"/>
              <w:rPr>
                <w:b/>
                <w:spacing w:val="0"/>
              </w:rPr>
            </w:pPr>
            <w:r>
              <w:rPr>
                <w:b/>
                <w:spacing w:val="0"/>
              </w:rPr>
              <w:t>As of December 31, 2023</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0"/>
              <w:jc w:val="left"/>
              <w:rPr>
                <w:b/>
                <w:spacing w:val="0"/>
              </w:rPr>
            </w:pPr>
            <w:r>
              <w:rPr>
                <w:b/>
                <w:spacing w:val="0"/>
              </w:rPr>
              <w:t xml:space="preserve">Series </w:t>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0"/>
              <w:jc w:val="center"/>
              <w:rPr>
                <w:b/>
                <w:spacing w:val="0"/>
              </w:rPr>
            </w:pPr>
            <w:r>
              <w:rPr>
                <w:b/>
                <w:spacing w:val="0"/>
              </w:rPr>
              <w:t>Year</w:t>
            </w:r>
          </w:p>
        </w:tc>
        <w:tc>
          <w:tcPr>
            <w:tcW w:w="120" w:type="dxa"/>
            <w:tcBorders/>
            <w:vAlign w:val="center"/>
          </w:tcPr>
          <w:p>
            <w:pPr>
              <w:pStyle w:val="TableContents"/>
              <w:bidi w:val="0"/>
              <w:spacing w:before="0" w:after="0"/>
              <w:jc w:val="left"/>
              <w:rPr>
                <w:spacing w:val="0"/>
              </w:rPr>
            </w:pPr>
            <w:r>
              <w:rPr>
                <w:spacing w:val="0"/>
              </w:rPr>
              <w:t>  </w:t>
            </w:r>
          </w:p>
        </w:tc>
        <w:tc>
          <w:tcPr>
            <w:tcW w:w="2635" w:type="dxa"/>
            <w:gridSpan w:val="6"/>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20" w:type="dxa"/>
            <w:gridSpan w:val="2"/>
            <w:tcBorders/>
            <w:vAlign w:val="center"/>
          </w:tcPr>
          <w:p>
            <w:pPr>
              <w:pStyle w:val="TableContents"/>
              <w:bidi w:val="0"/>
              <w:spacing w:before="0" w:after="0"/>
              <w:jc w:val="center"/>
              <w:rPr>
                <w:b/>
                <w:spacing w:val="0"/>
              </w:rPr>
            </w:pPr>
            <w:r>
              <w:rPr>
                <w:b/>
                <w:spacing w:val="0"/>
              </w:rPr>
              <w:t>Liquidation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20" w:type="dxa"/>
            <w:gridSpan w:val="2"/>
            <w:tcBorders/>
            <w:vAlign w:val="center"/>
          </w:tcPr>
          <w:p>
            <w:pPr>
              <w:pStyle w:val="TableContents"/>
              <w:bidi w:val="0"/>
              <w:spacing w:before="0" w:after="0"/>
              <w:jc w:val="center"/>
              <w:rPr>
                <w:b/>
                <w:spacing w:val="0"/>
              </w:rPr>
            </w:pPr>
            <w:r>
              <w:rPr>
                <w:b/>
                <w:spacing w:val="0"/>
              </w:rPr>
              <w:t>Carrying</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 xml:space="preserve">Preferred </w:t>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0"/>
              <w:jc w:val="center"/>
              <w:rPr>
                <w:b/>
                <w:spacing w:val="0"/>
              </w:rPr>
            </w:pPr>
            <w:r>
              <w:rPr>
                <w:b/>
                <w:spacing w:val="0"/>
              </w:rPr>
              <w:t>Issued</w:t>
            </w:r>
          </w:p>
        </w:tc>
        <w:tc>
          <w:tcPr>
            <w:tcW w:w="120" w:type="dxa"/>
            <w:tcBorders/>
            <w:vAlign w:val="center"/>
          </w:tcPr>
          <w:p>
            <w:pPr>
              <w:pStyle w:val="TableContents"/>
              <w:bidi w:val="0"/>
              <w:spacing w:before="0" w:after="0"/>
              <w:jc w:val="left"/>
              <w:rPr>
                <w:spacing w:val="0"/>
              </w:rPr>
            </w:pPr>
            <w:r>
              <w:rPr>
                <w:spacing w:val="0"/>
              </w:rPr>
              <w:t>  </w:t>
            </w:r>
          </w:p>
        </w:tc>
        <w:tc>
          <w:tcPr>
            <w:tcW w:w="1175" w:type="dxa"/>
            <w:gridSpan w:val="2"/>
            <w:tcBorders/>
            <w:vAlign w:val="center"/>
          </w:tcPr>
          <w:p>
            <w:pPr>
              <w:pStyle w:val="TableContents"/>
              <w:bidi w:val="0"/>
              <w:spacing w:before="0" w:after="0"/>
              <w:jc w:val="center"/>
              <w:rPr>
                <w:b/>
                <w:spacing w:val="0"/>
              </w:rPr>
            </w:pPr>
            <w:r>
              <w:rPr>
                <w:b/>
                <w:spacing w:val="0"/>
              </w:rPr>
              <w:t>Authorized</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Outstanding</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2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20" w:type="dxa"/>
            <w:gridSpan w:val="2"/>
            <w:tcBorders/>
            <w:vAlign w:val="center"/>
          </w:tcPr>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A</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40" w:type="dxa"/>
            <w:tcBorders/>
            <w:shd w:fill="CCEEFF" w:val="clear"/>
            <w:vAlign w:val="center"/>
          </w:tcPr>
          <w:p>
            <w:pPr>
              <w:pStyle w:val="TableContents"/>
              <w:bidi w:val="0"/>
              <w:spacing w:before="0" w:after="0"/>
              <w:jc w:val="center"/>
              <w:rPr>
                <w:spacing w:val="0"/>
              </w:rPr>
            </w:pPr>
            <w:r>
              <w:rPr>
                <w:spacing w:val="0"/>
              </w:rPr>
              <w:t>2015</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15" w:type="dxa"/>
            <w:tcBorders/>
            <w:shd w:fill="CCEEFF" w:val="clear"/>
            <w:vAlign w:val="center"/>
          </w:tcPr>
          <w:p>
            <w:pPr>
              <w:pStyle w:val="TableContents"/>
              <w:bidi w:val="0"/>
              <w:spacing w:before="0" w:after="0"/>
              <w:jc w:val="right"/>
              <w:rPr>
                <w:spacing w:val="0"/>
              </w:rPr>
            </w:pPr>
            <w:r>
              <w:rPr>
                <w:spacing w:val="0"/>
              </w:rPr>
              <w:t>10,000,000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6" w:type="dxa"/>
            <w:tcBorders/>
            <w:shd w:fill="CCEEFF" w:val="clear"/>
            <w:vAlign w:val="center"/>
          </w:tcPr>
          <w:p>
            <w:pPr>
              <w:pStyle w:val="TableContents"/>
              <w:bidi w:val="0"/>
              <w:spacing w:before="0" w:after="0"/>
              <w:jc w:val="left"/>
              <w:rPr>
                <w:spacing w:val="0"/>
              </w:rPr>
            </w:pPr>
            <w:r>
              <w:rPr>
                <w:spacing w:val="0"/>
              </w:rPr>
              <w:t> </w:t>
            </w:r>
          </w:p>
        </w:tc>
        <w:tc>
          <w:tcPr>
            <w:tcW w:w="1214" w:type="dxa"/>
            <w:tcBorders/>
            <w:shd w:fill="CCEEFF" w:val="clear"/>
            <w:vAlign w:val="center"/>
          </w:tcPr>
          <w:p>
            <w:pPr>
              <w:pStyle w:val="TableContents"/>
              <w:bidi w:val="0"/>
              <w:spacing w:before="0" w:after="0"/>
              <w:jc w:val="right"/>
              <w:rPr>
                <w:spacing w:val="0"/>
              </w:rPr>
            </w:pPr>
            <w:r>
              <w:rPr>
                <w:spacing w:val="0"/>
              </w:rPr>
              <w:t>10,000,000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2" w:type="dxa"/>
            <w:tcBorders/>
            <w:shd w:fill="CCEEFF" w:val="clear"/>
            <w:vAlign w:val="center"/>
          </w:tcPr>
          <w:p>
            <w:pPr>
              <w:pStyle w:val="TableContents"/>
              <w:bidi w:val="0"/>
              <w:spacing w:before="0" w:after="0"/>
              <w:jc w:val="left"/>
              <w:rPr>
                <w:spacing w:val="0"/>
              </w:rPr>
            </w:pPr>
            <w:r>
              <w:rPr>
                <w:spacing w:val="0"/>
              </w:rPr>
              <w:t>$</w:t>
            </w:r>
          </w:p>
        </w:tc>
        <w:tc>
          <w:tcPr>
            <w:tcW w:w="1068" w:type="dxa"/>
            <w:tcBorders/>
            <w:shd w:fill="CCEEFF" w:val="clear"/>
            <w:vAlign w:val="center"/>
          </w:tcPr>
          <w:p>
            <w:pPr>
              <w:pStyle w:val="TableContents"/>
              <w:bidi w:val="0"/>
              <w:spacing w:before="0" w:after="0"/>
              <w:jc w:val="right"/>
              <w:rPr>
                <w:spacing w:val="0"/>
              </w:rPr>
            </w:pPr>
            <w:r>
              <w:rPr>
                <w:spacing w:val="0"/>
              </w:rPr>
              <w:t>10,500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980" w:type="dxa"/>
            <w:tcBorders/>
            <w:shd w:fill="CCEEFF" w:val="clear"/>
            <w:vAlign w:val="center"/>
          </w:tcPr>
          <w:p>
            <w:pPr>
              <w:pStyle w:val="TableContents"/>
              <w:bidi w:val="0"/>
              <w:spacing w:before="0" w:after="0"/>
              <w:jc w:val="right"/>
              <w:rPr>
                <w:spacing w:val="0"/>
              </w:rPr>
            </w:pPr>
            <w:r>
              <w:rPr>
                <w:spacing w:val="0"/>
              </w:rPr>
              <w:t>10,000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B</w:t>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0"/>
              <w:jc w:val="center"/>
              <w:rPr>
                <w:spacing w:val="0"/>
              </w:rPr>
            </w:pPr>
            <w:r>
              <w:rPr>
                <w:spacing w:val="0"/>
              </w:rPr>
              <w:t>2016</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15" w:type="dxa"/>
            <w:tcBorders/>
            <w:vAlign w:val="center"/>
          </w:tcPr>
          <w:p>
            <w:pPr>
              <w:pStyle w:val="TableContents"/>
              <w:bidi w:val="0"/>
              <w:spacing w:before="0" w:after="0"/>
              <w:jc w:val="right"/>
              <w:rPr>
                <w:spacing w:val="0"/>
              </w:rPr>
            </w:pPr>
            <w:r>
              <w:rPr>
                <w:spacing w:val="0"/>
              </w:rPr>
              <w:t>5,374,899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6" w:type="dxa"/>
            <w:tcBorders/>
            <w:vAlign w:val="center"/>
          </w:tcPr>
          <w:p>
            <w:pPr>
              <w:pStyle w:val="TableContents"/>
              <w:bidi w:val="0"/>
              <w:spacing w:before="0" w:after="0"/>
              <w:jc w:val="left"/>
              <w:rPr>
                <w:spacing w:val="0"/>
              </w:rPr>
            </w:pPr>
            <w:r>
              <w:rPr>
                <w:spacing w:val="0"/>
              </w:rPr>
              <w:t> </w:t>
            </w:r>
          </w:p>
        </w:tc>
        <w:tc>
          <w:tcPr>
            <w:tcW w:w="1214" w:type="dxa"/>
            <w:tcBorders/>
            <w:vAlign w:val="center"/>
          </w:tcPr>
          <w:p>
            <w:pPr>
              <w:pStyle w:val="TableContents"/>
              <w:bidi w:val="0"/>
              <w:spacing w:before="0" w:after="0"/>
              <w:jc w:val="right"/>
              <w:rPr>
                <w:spacing w:val="0"/>
              </w:rPr>
            </w:pPr>
            <w:r>
              <w:rPr>
                <w:spacing w:val="0"/>
              </w:rPr>
              <w:t>5,374,899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2" w:type="dxa"/>
            <w:tcBorders/>
            <w:vAlign w:val="center"/>
          </w:tcPr>
          <w:p>
            <w:pPr>
              <w:pStyle w:val="TableContents"/>
              <w:bidi w:val="0"/>
              <w:spacing w:before="0" w:after="0"/>
              <w:jc w:val="left"/>
              <w:rPr>
                <w:spacing w:val="0"/>
              </w:rPr>
            </w:pPr>
            <w:r>
              <w:rPr>
                <w:spacing w:val="0"/>
              </w:rPr>
              <w:t> </w:t>
            </w:r>
          </w:p>
        </w:tc>
        <w:tc>
          <w:tcPr>
            <w:tcW w:w="1068" w:type="dxa"/>
            <w:tcBorders/>
            <w:vAlign w:val="center"/>
          </w:tcPr>
          <w:p>
            <w:pPr>
              <w:pStyle w:val="TableContents"/>
              <w:bidi w:val="0"/>
              <w:spacing w:before="0" w:after="0"/>
              <w:jc w:val="right"/>
              <w:rPr>
                <w:spacing w:val="0"/>
              </w:rPr>
            </w:pPr>
            <w:r>
              <w:rPr>
                <w:spacing w:val="0"/>
              </w:rPr>
              <w:t>10,500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10,000</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B-1</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40" w:type="dxa"/>
            <w:tcBorders/>
            <w:shd w:fill="CCEEFF" w:val="clear"/>
            <w:vAlign w:val="center"/>
          </w:tcPr>
          <w:p>
            <w:pPr>
              <w:pStyle w:val="TableContents"/>
              <w:bidi w:val="0"/>
              <w:spacing w:before="0" w:after="0"/>
              <w:jc w:val="center"/>
              <w:rPr>
                <w:spacing w:val="0"/>
              </w:rPr>
            </w:pPr>
            <w:r>
              <w:rPr>
                <w:spacing w:val="0"/>
              </w:rPr>
              <w:t>2016</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15" w:type="dxa"/>
            <w:tcBorders/>
            <w:shd w:fill="CCEEFF" w:val="clear"/>
            <w:vAlign w:val="center"/>
          </w:tcPr>
          <w:p>
            <w:pPr>
              <w:pStyle w:val="TableContents"/>
              <w:bidi w:val="0"/>
              <w:spacing w:before="0" w:after="0"/>
              <w:jc w:val="right"/>
              <w:rPr>
                <w:spacing w:val="0"/>
              </w:rPr>
            </w:pPr>
            <w:r>
              <w:rPr>
                <w:spacing w:val="0"/>
              </w:rPr>
              <w:t>2,500,000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6" w:type="dxa"/>
            <w:tcBorders/>
            <w:shd w:fill="CCEEFF" w:val="clear"/>
            <w:vAlign w:val="center"/>
          </w:tcPr>
          <w:p>
            <w:pPr>
              <w:pStyle w:val="TableContents"/>
              <w:bidi w:val="0"/>
              <w:spacing w:before="0" w:after="0"/>
              <w:jc w:val="left"/>
              <w:rPr>
                <w:spacing w:val="0"/>
              </w:rPr>
            </w:pPr>
            <w:r>
              <w:rPr>
                <w:spacing w:val="0"/>
              </w:rPr>
              <w:t> </w:t>
            </w:r>
          </w:p>
        </w:tc>
        <w:tc>
          <w:tcPr>
            <w:tcW w:w="1214" w:type="dxa"/>
            <w:tcBorders/>
            <w:shd w:fill="CCEEFF" w:val="clear"/>
            <w:vAlign w:val="center"/>
          </w:tcPr>
          <w:p>
            <w:pPr>
              <w:pStyle w:val="TableContents"/>
              <w:bidi w:val="0"/>
              <w:spacing w:before="0" w:after="0"/>
              <w:jc w:val="right"/>
              <w:rPr>
                <w:spacing w:val="0"/>
              </w:rPr>
            </w:pPr>
            <w:r>
              <w:rPr>
                <w:spacing w:val="0"/>
              </w:rPr>
              <w:t>2,500,000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2" w:type="dxa"/>
            <w:tcBorders/>
            <w:shd w:fill="CCEEFF" w:val="clear"/>
            <w:vAlign w:val="center"/>
          </w:tcPr>
          <w:p>
            <w:pPr>
              <w:pStyle w:val="TableContents"/>
              <w:bidi w:val="0"/>
              <w:spacing w:before="0" w:after="0"/>
              <w:jc w:val="left"/>
              <w:rPr>
                <w:spacing w:val="0"/>
              </w:rPr>
            </w:pPr>
            <w:r>
              <w:rPr>
                <w:spacing w:val="0"/>
              </w:rPr>
              <w:t> </w:t>
            </w:r>
          </w:p>
        </w:tc>
        <w:tc>
          <w:tcPr>
            <w:tcW w:w="1068" w:type="dxa"/>
            <w:tcBorders/>
            <w:shd w:fill="CCEEFF" w:val="clear"/>
            <w:vAlign w:val="center"/>
          </w:tcPr>
          <w:p>
            <w:pPr>
              <w:pStyle w:val="TableContents"/>
              <w:bidi w:val="0"/>
              <w:spacing w:before="0" w:after="0"/>
              <w:jc w:val="right"/>
              <w:rPr>
                <w:spacing w:val="0"/>
              </w:rPr>
            </w:pPr>
            <w:r>
              <w:rPr>
                <w:spacing w:val="0"/>
              </w:rPr>
              <w:t>10,500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10,000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B-2</w:t>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0"/>
              <w:jc w:val="center"/>
              <w:rPr>
                <w:spacing w:val="0"/>
              </w:rPr>
            </w:pPr>
            <w:r>
              <w:rPr>
                <w:spacing w:val="0"/>
              </w:rPr>
              <w:t>2017</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15" w:type="dxa"/>
            <w:tcBorders/>
            <w:vAlign w:val="center"/>
          </w:tcPr>
          <w:p>
            <w:pPr>
              <w:pStyle w:val="TableContents"/>
              <w:bidi w:val="0"/>
              <w:spacing w:before="0" w:after="0"/>
              <w:jc w:val="right"/>
              <w:rPr>
                <w:spacing w:val="0"/>
              </w:rPr>
            </w:pPr>
            <w:r>
              <w:rPr>
                <w:spacing w:val="0"/>
              </w:rPr>
              <w:t>4,191,173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6" w:type="dxa"/>
            <w:tcBorders/>
            <w:vAlign w:val="center"/>
          </w:tcPr>
          <w:p>
            <w:pPr>
              <w:pStyle w:val="TableContents"/>
              <w:bidi w:val="0"/>
              <w:spacing w:before="0" w:after="0"/>
              <w:jc w:val="left"/>
              <w:rPr>
                <w:spacing w:val="0"/>
              </w:rPr>
            </w:pPr>
            <w:r>
              <w:rPr>
                <w:spacing w:val="0"/>
              </w:rPr>
              <w:t> </w:t>
            </w:r>
          </w:p>
        </w:tc>
        <w:tc>
          <w:tcPr>
            <w:tcW w:w="1214" w:type="dxa"/>
            <w:tcBorders/>
            <w:vAlign w:val="center"/>
          </w:tcPr>
          <w:p>
            <w:pPr>
              <w:pStyle w:val="TableContents"/>
              <w:bidi w:val="0"/>
              <w:spacing w:before="0" w:after="0"/>
              <w:jc w:val="right"/>
              <w:rPr>
                <w:spacing w:val="0"/>
              </w:rPr>
            </w:pPr>
            <w:r>
              <w:rPr>
                <w:spacing w:val="0"/>
              </w:rPr>
              <w:t>4,191,173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2" w:type="dxa"/>
            <w:tcBorders/>
            <w:vAlign w:val="center"/>
          </w:tcPr>
          <w:p>
            <w:pPr>
              <w:pStyle w:val="TableContents"/>
              <w:bidi w:val="0"/>
              <w:spacing w:before="0" w:after="0"/>
              <w:jc w:val="left"/>
              <w:rPr>
                <w:spacing w:val="0"/>
              </w:rPr>
            </w:pPr>
            <w:r>
              <w:rPr>
                <w:spacing w:val="0"/>
              </w:rPr>
              <w:t> </w:t>
            </w:r>
          </w:p>
        </w:tc>
        <w:tc>
          <w:tcPr>
            <w:tcW w:w="1068" w:type="dxa"/>
            <w:tcBorders/>
            <w:vAlign w:val="center"/>
          </w:tcPr>
          <w:p>
            <w:pPr>
              <w:pStyle w:val="TableContents"/>
              <w:bidi w:val="0"/>
              <w:spacing w:before="0" w:after="0"/>
              <w:jc w:val="right"/>
              <w:rPr>
                <w:spacing w:val="0"/>
              </w:rPr>
            </w:pPr>
            <w:r>
              <w:rPr>
                <w:spacing w:val="0"/>
              </w:rPr>
              <w:t>31,500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30,000</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40" w:type="dxa"/>
            <w:tcBorders/>
            <w:shd w:fill="CCEEFF" w:val="clear"/>
            <w:vAlign w:val="center"/>
          </w:tcPr>
          <w:p>
            <w:pPr>
              <w:pStyle w:val="TableContents"/>
              <w:bidi w:val="0"/>
              <w:spacing w:before="0" w:after="0"/>
              <w:jc w:val="center"/>
              <w:rPr>
                <w:spacing w:val="0"/>
              </w:rPr>
            </w:pPr>
            <w:r>
              <w:rPr>
                <w:spacing w:val="0"/>
              </w:rPr>
              <w:t>2017</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15" w:type="dxa"/>
            <w:tcBorders/>
            <w:shd w:fill="CCEEFF" w:val="clear"/>
            <w:vAlign w:val="center"/>
          </w:tcPr>
          <w:p>
            <w:pPr>
              <w:pStyle w:val="TableContents"/>
              <w:bidi w:val="0"/>
              <w:spacing w:before="0" w:after="0"/>
              <w:jc w:val="right"/>
              <w:rPr>
                <w:spacing w:val="0"/>
              </w:rPr>
            </w:pPr>
            <w:r>
              <w:rPr>
                <w:spacing w:val="0"/>
              </w:rPr>
              <w:t>9,779,403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6" w:type="dxa"/>
            <w:tcBorders/>
            <w:shd w:fill="CCEEFF" w:val="clear"/>
            <w:vAlign w:val="center"/>
          </w:tcPr>
          <w:p>
            <w:pPr>
              <w:pStyle w:val="TableContents"/>
              <w:bidi w:val="0"/>
              <w:spacing w:before="0" w:after="0"/>
              <w:jc w:val="left"/>
              <w:rPr>
                <w:spacing w:val="0"/>
              </w:rPr>
            </w:pPr>
            <w:r>
              <w:rPr>
                <w:spacing w:val="0"/>
              </w:rPr>
              <w:t> </w:t>
            </w:r>
          </w:p>
        </w:tc>
        <w:tc>
          <w:tcPr>
            <w:tcW w:w="1214" w:type="dxa"/>
            <w:tcBorders/>
            <w:shd w:fill="CCEEFF" w:val="clear"/>
            <w:vAlign w:val="center"/>
          </w:tcPr>
          <w:p>
            <w:pPr>
              <w:pStyle w:val="TableContents"/>
              <w:bidi w:val="0"/>
              <w:spacing w:before="0" w:after="0"/>
              <w:jc w:val="right"/>
              <w:rPr>
                <w:spacing w:val="0"/>
              </w:rPr>
            </w:pPr>
            <w:r>
              <w:rPr>
                <w:spacing w:val="0"/>
              </w:rPr>
              <w:t>9,779,403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2" w:type="dxa"/>
            <w:tcBorders/>
            <w:shd w:fill="CCEEFF" w:val="clear"/>
            <w:vAlign w:val="center"/>
          </w:tcPr>
          <w:p>
            <w:pPr>
              <w:pStyle w:val="TableContents"/>
              <w:bidi w:val="0"/>
              <w:spacing w:before="0" w:after="0"/>
              <w:jc w:val="left"/>
              <w:rPr>
                <w:spacing w:val="0"/>
              </w:rPr>
            </w:pPr>
            <w:r>
              <w:rPr>
                <w:spacing w:val="0"/>
              </w:rPr>
              <w:t> </w:t>
            </w:r>
          </w:p>
        </w:tc>
        <w:tc>
          <w:tcPr>
            <w:tcW w:w="1068" w:type="dxa"/>
            <w:tcBorders/>
            <w:shd w:fill="CCEEFF" w:val="clear"/>
            <w:vAlign w:val="center"/>
          </w:tcPr>
          <w:p>
            <w:pPr>
              <w:pStyle w:val="TableContents"/>
              <w:bidi w:val="0"/>
              <w:spacing w:before="0" w:after="0"/>
              <w:jc w:val="right"/>
              <w:rPr>
                <w:spacing w:val="0"/>
              </w:rPr>
            </w:pPr>
            <w:r>
              <w:rPr>
                <w:spacing w:val="0"/>
              </w:rPr>
              <w:t>86,757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70,000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D</w:t>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0"/>
              <w:jc w:val="center"/>
              <w:rPr>
                <w:spacing w:val="0"/>
              </w:rPr>
            </w:pPr>
            <w:r>
              <w:rPr>
                <w:spacing w:val="0"/>
              </w:rPr>
              <w:t>2018</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15" w:type="dxa"/>
            <w:tcBorders/>
            <w:vAlign w:val="center"/>
          </w:tcPr>
          <w:p>
            <w:pPr>
              <w:pStyle w:val="TableContents"/>
              <w:bidi w:val="0"/>
              <w:spacing w:before="0" w:after="0"/>
              <w:jc w:val="right"/>
              <w:rPr>
                <w:spacing w:val="0"/>
              </w:rPr>
            </w:pPr>
            <w:r>
              <w:rPr>
                <w:spacing w:val="0"/>
              </w:rPr>
              <w:t>8,534,330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6" w:type="dxa"/>
            <w:tcBorders/>
            <w:vAlign w:val="center"/>
          </w:tcPr>
          <w:p>
            <w:pPr>
              <w:pStyle w:val="TableContents"/>
              <w:bidi w:val="0"/>
              <w:spacing w:before="0" w:after="0"/>
              <w:jc w:val="left"/>
              <w:rPr>
                <w:spacing w:val="0"/>
              </w:rPr>
            </w:pPr>
            <w:r>
              <w:rPr>
                <w:spacing w:val="0"/>
              </w:rPr>
              <w:t> </w:t>
            </w:r>
          </w:p>
        </w:tc>
        <w:tc>
          <w:tcPr>
            <w:tcW w:w="1214" w:type="dxa"/>
            <w:tcBorders/>
            <w:vAlign w:val="center"/>
          </w:tcPr>
          <w:p>
            <w:pPr>
              <w:pStyle w:val="TableContents"/>
              <w:bidi w:val="0"/>
              <w:spacing w:before="0" w:after="0"/>
              <w:jc w:val="right"/>
              <w:rPr>
                <w:spacing w:val="0"/>
              </w:rPr>
            </w:pPr>
            <w:r>
              <w:rPr>
                <w:spacing w:val="0"/>
              </w:rPr>
              <w:t>8,534,330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2" w:type="dxa"/>
            <w:tcBorders/>
            <w:vAlign w:val="center"/>
          </w:tcPr>
          <w:p>
            <w:pPr>
              <w:pStyle w:val="TableContents"/>
              <w:bidi w:val="0"/>
              <w:spacing w:before="0" w:after="0"/>
              <w:jc w:val="left"/>
              <w:rPr>
                <w:spacing w:val="0"/>
              </w:rPr>
            </w:pPr>
            <w:r>
              <w:rPr>
                <w:spacing w:val="0"/>
              </w:rPr>
              <w:t> </w:t>
            </w:r>
          </w:p>
        </w:tc>
        <w:tc>
          <w:tcPr>
            <w:tcW w:w="1068" w:type="dxa"/>
            <w:tcBorders/>
            <w:vAlign w:val="center"/>
          </w:tcPr>
          <w:p>
            <w:pPr>
              <w:pStyle w:val="TableContents"/>
              <w:bidi w:val="0"/>
              <w:spacing w:before="0" w:after="0"/>
              <w:jc w:val="right"/>
              <w:rPr>
                <w:spacing w:val="0"/>
              </w:rPr>
            </w:pPr>
            <w:r>
              <w:rPr>
                <w:spacing w:val="0"/>
              </w:rPr>
              <w:t>105,107</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104,145</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40" w:type="dxa"/>
            <w:tcBorders/>
            <w:shd w:fill="CCEEFF" w:val="clear"/>
            <w:vAlign w:val="center"/>
          </w:tcPr>
          <w:p>
            <w:pPr>
              <w:pStyle w:val="TableContents"/>
              <w:bidi w:val="0"/>
              <w:spacing w:before="0" w:after="0"/>
              <w:jc w:val="center"/>
              <w:rPr>
                <w:spacing w:val="0"/>
              </w:rPr>
            </w:pPr>
            <w:r>
              <w:rPr>
                <w:spacing w:val="0"/>
              </w:rPr>
              <w:t>2018</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15" w:type="dxa"/>
            <w:tcBorders/>
            <w:shd w:fill="CCEEFF" w:val="clear"/>
            <w:vAlign w:val="center"/>
          </w:tcPr>
          <w:p>
            <w:pPr>
              <w:pStyle w:val="TableContents"/>
              <w:bidi w:val="0"/>
              <w:spacing w:before="0" w:after="0"/>
              <w:jc w:val="right"/>
              <w:rPr>
                <w:spacing w:val="0"/>
              </w:rPr>
            </w:pPr>
            <w:r>
              <w:rPr>
                <w:spacing w:val="0"/>
              </w:rPr>
              <w:t>6,630,905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6" w:type="dxa"/>
            <w:tcBorders/>
            <w:shd w:fill="CCEEFF" w:val="clear"/>
            <w:vAlign w:val="center"/>
          </w:tcPr>
          <w:p>
            <w:pPr>
              <w:pStyle w:val="TableContents"/>
              <w:bidi w:val="0"/>
              <w:spacing w:before="0" w:after="0"/>
              <w:jc w:val="left"/>
              <w:rPr>
                <w:spacing w:val="0"/>
              </w:rPr>
            </w:pPr>
            <w:r>
              <w:rPr>
                <w:spacing w:val="0"/>
              </w:rPr>
              <w:t> </w:t>
            </w:r>
          </w:p>
        </w:tc>
        <w:tc>
          <w:tcPr>
            <w:tcW w:w="1214" w:type="dxa"/>
            <w:tcBorders/>
            <w:shd w:fill="CCEEFF" w:val="clear"/>
            <w:vAlign w:val="center"/>
          </w:tcPr>
          <w:p>
            <w:pPr>
              <w:pStyle w:val="TableContents"/>
              <w:bidi w:val="0"/>
              <w:spacing w:before="0" w:after="0"/>
              <w:jc w:val="right"/>
              <w:rPr>
                <w:spacing w:val="0"/>
              </w:rPr>
            </w:pPr>
            <w:r>
              <w:rPr>
                <w:spacing w:val="0"/>
              </w:rPr>
              <w:t>6,630,905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2" w:type="dxa"/>
            <w:tcBorders/>
            <w:shd w:fill="CCEEFF" w:val="clear"/>
            <w:vAlign w:val="center"/>
          </w:tcPr>
          <w:p>
            <w:pPr>
              <w:pStyle w:val="TableContents"/>
              <w:bidi w:val="0"/>
              <w:spacing w:before="0" w:after="0"/>
              <w:jc w:val="left"/>
              <w:rPr>
                <w:spacing w:val="0"/>
              </w:rPr>
            </w:pPr>
            <w:r>
              <w:rPr>
                <w:spacing w:val="0"/>
              </w:rPr>
              <w:t> </w:t>
            </w:r>
          </w:p>
        </w:tc>
        <w:tc>
          <w:tcPr>
            <w:tcW w:w="1068" w:type="dxa"/>
            <w:tcBorders/>
            <w:shd w:fill="CCEEFF" w:val="clear"/>
            <w:vAlign w:val="center"/>
          </w:tcPr>
          <w:p>
            <w:pPr>
              <w:pStyle w:val="TableContents"/>
              <w:bidi w:val="0"/>
              <w:spacing w:before="0" w:after="0"/>
              <w:jc w:val="right"/>
              <w:rPr>
                <w:spacing w:val="0"/>
              </w:rPr>
            </w:pPr>
            <w:r>
              <w:rPr>
                <w:spacing w:val="0"/>
              </w:rPr>
              <w:t>151,621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151,621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F</w:t>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0"/>
              <w:jc w:val="center"/>
              <w:rPr>
                <w:spacing w:val="0"/>
              </w:rPr>
            </w:pPr>
            <w:r>
              <w:rPr>
                <w:spacing w:val="0"/>
              </w:rPr>
              <w:t>2019</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15" w:type="dxa"/>
            <w:tcBorders/>
            <w:vAlign w:val="center"/>
          </w:tcPr>
          <w:p>
            <w:pPr>
              <w:pStyle w:val="TableContents"/>
              <w:bidi w:val="0"/>
              <w:spacing w:before="0" w:after="0"/>
              <w:jc w:val="right"/>
              <w:rPr>
                <w:spacing w:val="0"/>
              </w:rPr>
            </w:pPr>
            <w:r>
              <w:rPr>
                <w:spacing w:val="0"/>
              </w:rPr>
              <w:t>8,077,674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6" w:type="dxa"/>
            <w:tcBorders/>
            <w:vAlign w:val="center"/>
          </w:tcPr>
          <w:p>
            <w:pPr>
              <w:pStyle w:val="TableContents"/>
              <w:bidi w:val="0"/>
              <w:spacing w:before="0" w:after="0"/>
              <w:jc w:val="left"/>
              <w:rPr>
                <w:spacing w:val="0"/>
              </w:rPr>
            </w:pPr>
            <w:r>
              <w:rPr>
                <w:spacing w:val="0"/>
              </w:rPr>
              <w:t> </w:t>
            </w:r>
          </w:p>
        </w:tc>
        <w:tc>
          <w:tcPr>
            <w:tcW w:w="1214" w:type="dxa"/>
            <w:tcBorders/>
            <w:vAlign w:val="center"/>
          </w:tcPr>
          <w:p>
            <w:pPr>
              <w:pStyle w:val="TableContents"/>
              <w:bidi w:val="0"/>
              <w:spacing w:before="0" w:after="0"/>
              <w:jc w:val="right"/>
              <w:rPr>
                <w:spacing w:val="0"/>
              </w:rPr>
            </w:pPr>
            <w:r>
              <w:rPr>
                <w:spacing w:val="0"/>
              </w:rPr>
              <w:t>8,077,674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2" w:type="dxa"/>
            <w:tcBorders/>
            <w:vAlign w:val="center"/>
          </w:tcPr>
          <w:p>
            <w:pPr>
              <w:pStyle w:val="TableContents"/>
              <w:bidi w:val="0"/>
              <w:spacing w:before="0" w:after="0"/>
              <w:jc w:val="left"/>
              <w:rPr>
                <w:spacing w:val="0"/>
              </w:rPr>
            </w:pPr>
            <w:r>
              <w:rPr>
                <w:spacing w:val="0"/>
              </w:rPr>
              <w:t> </w:t>
            </w:r>
          </w:p>
        </w:tc>
        <w:tc>
          <w:tcPr>
            <w:tcW w:w="1068" w:type="dxa"/>
            <w:tcBorders/>
            <w:vAlign w:val="center"/>
          </w:tcPr>
          <w:p>
            <w:pPr>
              <w:pStyle w:val="TableContents"/>
              <w:bidi w:val="0"/>
              <w:spacing w:before="0" w:after="0"/>
              <w:jc w:val="right"/>
              <w:rPr>
                <w:spacing w:val="0"/>
              </w:rPr>
            </w:pPr>
            <w:r>
              <w:rPr>
                <w:spacing w:val="0"/>
              </w:rPr>
              <w:t>261,722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261,722</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G</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40" w:type="dxa"/>
            <w:tcBorders/>
            <w:shd w:fill="CCEEFF" w:val="clear"/>
            <w:vAlign w:val="center"/>
          </w:tcPr>
          <w:p>
            <w:pPr>
              <w:pStyle w:val="TableContents"/>
              <w:bidi w:val="0"/>
              <w:spacing w:before="0" w:after="0"/>
              <w:jc w:val="center"/>
              <w:rPr>
                <w:spacing w:val="0"/>
              </w:rPr>
            </w:pPr>
            <w:r>
              <w:rPr>
                <w:spacing w:val="0"/>
              </w:rPr>
              <w:t>2020</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15" w:type="dxa"/>
            <w:tcBorders/>
            <w:shd w:fill="CCEEFF" w:val="clear"/>
            <w:vAlign w:val="center"/>
          </w:tcPr>
          <w:p>
            <w:pPr>
              <w:pStyle w:val="TableContents"/>
              <w:bidi w:val="0"/>
              <w:spacing w:before="0" w:after="0"/>
              <w:jc w:val="right"/>
              <w:rPr>
                <w:spacing w:val="0"/>
              </w:rPr>
            </w:pPr>
            <w:r>
              <w:rPr>
                <w:spacing w:val="0"/>
              </w:rPr>
              <w:t>2,537,290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6" w:type="dxa"/>
            <w:tcBorders/>
            <w:shd w:fill="CCEEFF" w:val="clear"/>
            <w:vAlign w:val="center"/>
          </w:tcPr>
          <w:p>
            <w:pPr>
              <w:pStyle w:val="TableContents"/>
              <w:bidi w:val="0"/>
              <w:spacing w:before="0" w:after="0"/>
              <w:jc w:val="left"/>
              <w:rPr>
                <w:spacing w:val="0"/>
              </w:rPr>
            </w:pPr>
            <w:r>
              <w:rPr>
                <w:spacing w:val="0"/>
              </w:rPr>
              <w:t> </w:t>
            </w:r>
          </w:p>
        </w:tc>
        <w:tc>
          <w:tcPr>
            <w:tcW w:w="1214" w:type="dxa"/>
            <w:tcBorders/>
            <w:shd w:fill="CCEEFF" w:val="clear"/>
            <w:vAlign w:val="center"/>
          </w:tcPr>
          <w:p>
            <w:pPr>
              <w:pStyle w:val="TableContents"/>
              <w:bidi w:val="0"/>
              <w:spacing w:before="0" w:after="0"/>
              <w:jc w:val="right"/>
              <w:rPr>
                <w:spacing w:val="0"/>
              </w:rPr>
            </w:pPr>
            <w:r>
              <w:rPr>
                <w:spacing w:val="0"/>
              </w:rPr>
              <w:t>2,537,290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2" w:type="dxa"/>
            <w:tcBorders/>
            <w:shd w:fill="CCEEFF" w:val="clear"/>
            <w:vAlign w:val="center"/>
          </w:tcPr>
          <w:p>
            <w:pPr>
              <w:pStyle w:val="TableContents"/>
              <w:bidi w:val="0"/>
              <w:spacing w:before="0" w:after="0"/>
              <w:jc w:val="left"/>
              <w:rPr>
                <w:spacing w:val="0"/>
              </w:rPr>
            </w:pPr>
            <w:r>
              <w:rPr>
                <w:spacing w:val="0"/>
              </w:rPr>
              <w:t> </w:t>
            </w:r>
          </w:p>
        </w:tc>
        <w:tc>
          <w:tcPr>
            <w:tcW w:w="1068" w:type="dxa"/>
            <w:tcBorders/>
            <w:shd w:fill="CCEEFF" w:val="clear"/>
            <w:vAlign w:val="center"/>
          </w:tcPr>
          <w:p>
            <w:pPr>
              <w:pStyle w:val="TableContents"/>
              <w:bidi w:val="0"/>
              <w:spacing w:before="0" w:after="0"/>
              <w:jc w:val="right"/>
              <w:rPr>
                <w:spacing w:val="0"/>
              </w:rPr>
            </w:pPr>
            <w:r>
              <w:rPr>
                <w:spacing w:val="0"/>
              </w:rPr>
              <w:t>119,928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119,928</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G-2*</w:t>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0"/>
              <w:jc w:val="center"/>
              <w:rPr>
                <w:spacing w:val="0"/>
              </w:rPr>
            </w:pPr>
            <w:r>
              <w:rPr>
                <w:spacing w:val="0"/>
              </w:rPr>
              <w:t>2020/2021</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15" w:type="dxa"/>
            <w:tcBorders/>
            <w:vAlign w:val="center"/>
          </w:tcPr>
          <w:p>
            <w:pPr>
              <w:pStyle w:val="TableContents"/>
              <w:bidi w:val="0"/>
              <w:spacing w:before="0" w:after="0"/>
              <w:jc w:val="right"/>
              <w:rPr>
                <w:spacing w:val="0"/>
              </w:rPr>
            </w:pPr>
            <w:r>
              <w:rPr>
                <w:spacing w:val="0"/>
              </w:rPr>
              <w:t>3,453,139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6" w:type="dxa"/>
            <w:tcBorders/>
            <w:vAlign w:val="center"/>
          </w:tcPr>
          <w:p>
            <w:pPr>
              <w:pStyle w:val="TableContents"/>
              <w:bidi w:val="0"/>
              <w:spacing w:before="0" w:after="0"/>
              <w:jc w:val="left"/>
              <w:rPr>
                <w:spacing w:val="0"/>
              </w:rPr>
            </w:pPr>
            <w:r>
              <w:rPr>
                <w:spacing w:val="0"/>
              </w:rPr>
              <w:t> </w:t>
            </w:r>
          </w:p>
        </w:tc>
        <w:tc>
          <w:tcPr>
            <w:tcW w:w="1214" w:type="dxa"/>
            <w:tcBorders/>
            <w:vAlign w:val="center"/>
          </w:tcPr>
          <w:p>
            <w:pPr>
              <w:pStyle w:val="TableContents"/>
              <w:bidi w:val="0"/>
              <w:spacing w:before="0" w:after="0"/>
              <w:jc w:val="right"/>
              <w:rPr>
                <w:spacing w:val="0"/>
              </w:rPr>
            </w:pPr>
            <w:r>
              <w:rPr>
                <w:spacing w:val="0"/>
              </w:rPr>
              <w:t>3,453,139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2" w:type="dxa"/>
            <w:tcBorders/>
            <w:vAlign w:val="center"/>
          </w:tcPr>
          <w:p>
            <w:pPr>
              <w:pStyle w:val="TableContents"/>
              <w:bidi w:val="0"/>
              <w:spacing w:before="0" w:after="0"/>
              <w:jc w:val="left"/>
              <w:rPr>
                <w:spacing w:val="0"/>
              </w:rPr>
            </w:pPr>
            <w:r>
              <w:rPr>
                <w:spacing w:val="0"/>
              </w:rPr>
              <w:t> </w:t>
            </w:r>
          </w:p>
        </w:tc>
        <w:tc>
          <w:tcPr>
            <w:tcW w:w="1068" w:type="dxa"/>
            <w:tcBorders/>
            <w:vAlign w:val="center"/>
          </w:tcPr>
          <w:p>
            <w:pPr>
              <w:pStyle w:val="TableContents"/>
              <w:bidi w:val="0"/>
              <w:spacing w:before="0" w:after="0"/>
              <w:jc w:val="right"/>
              <w:rPr>
                <w:spacing w:val="0"/>
              </w:rPr>
            </w:pPr>
            <w:r>
              <w:rPr>
                <w:spacing w:val="0"/>
              </w:rPr>
              <w:t>197,889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197,889</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G-3**</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40" w:type="dxa"/>
            <w:tcBorders/>
            <w:shd w:fill="CCEEFF" w:val="clear"/>
            <w:vAlign w:val="center"/>
          </w:tcPr>
          <w:p>
            <w:pPr>
              <w:pStyle w:val="TableContents"/>
              <w:bidi w:val="0"/>
              <w:spacing w:before="0" w:after="0"/>
              <w:jc w:val="center"/>
              <w:rPr>
                <w:spacing w:val="0"/>
              </w:rPr>
            </w:pPr>
            <w:r>
              <w:rPr>
                <w:spacing w:val="0"/>
              </w:rPr>
              <w:t>2022/2023</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15" w:type="dxa"/>
            <w:tcBorders/>
            <w:shd w:fill="CCEEFF" w:val="clear"/>
            <w:vAlign w:val="center"/>
          </w:tcPr>
          <w:p>
            <w:pPr>
              <w:pStyle w:val="TableContents"/>
              <w:bidi w:val="0"/>
              <w:spacing w:before="0" w:after="0"/>
              <w:jc w:val="right"/>
              <w:rPr>
                <w:spacing w:val="0"/>
              </w:rPr>
            </w:pPr>
            <w:r>
              <w:rPr>
                <w:spacing w:val="0"/>
              </w:rPr>
              <w:t>4,362,476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6" w:type="dxa"/>
            <w:tcBorders/>
            <w:shd w:fill="CCEEFF" w:val="clear"/>
            <w:vAlign w:val="center"/>
          </w:tcPr>
          <w:p>
            <w:pPr>
              <w:pStyle w:val="TableContents"/>
              <w:bidi w:val="0"/>
              <w:spacing w:before="0" w:after="0"/>
              <w:jc w:val="left"/>
              <w:rPr>
                <w:spacing w:val="0"/>
              </w:rPr>
            </w:pPr>
            <w:r>
              <w:rPr>
                <w:spacing w:val="0"/>
              </w:rPr>
              <w:t> </w:t>
            </w:r>
          </w:p>
        </w:tc>
        <w:tc>
          <w:tcPr>
            <w:tcW w:w="1214" w:type="dxa"/>
            <w:tcBorders/>
            <w:shd w:fill="CCEEFF" w:val="clear"/>
            <w:vAlign w:val="center"/>
          </w:tcPr>
          <w:p>
            <w:pPr>
              <w:pStyle w:val="TableContents"/>
              <w:bidi w:val="0"/>
              <w:spacing w:before="0" w:after="0"/>
              <w:jc w:val="right"/>
              <w:rPr>
                <w:spacing w:val="0"/>
              </w:rPr>
            </w:pPr>
            <w:r>
              <w:rPr>
                <w:spacing w:val="0"/>
              </w:rPr>
              <w:t>1,661,895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2" w:type="dxa"/>
            <w:tcBorders/>
            <w:shd w:fill="CCEEFF" w:val="clear"/>
            <w:vAlign w:val="center"/>
          </w:tcPr>
          <w:p>
            <w:pPr>
              <w:pStyle w:val="TableContents"/>
              <w:bidi w:val="0"/>
              <w:spacing w:before="0" w:after="0"/>
              <w:jc w:val="left"/>
              <w:rPr>
                <w:spacing w:val="0"/>
              </w:rPr>
            </w:pPr>
            <w:r>
              <w:rPr>
                <w:spacing w:val="0"/>
              </w:rPr>
              <w:t> </w:t>
            </w:r>
          </w:p>
        </w:tc>
        <w:tc>
          <w:tcPr>
            <w:tcW w:w="1068" w:type="dxa"/>
            <w:tcBorders/>
            <w:shd w:fill="CCEEFF" w:val="clear"/>
            <w:vAlign w:val="center"/>
          </w:tcPr>
          <w:p>
            <w:pPr>
              <w:pStyle w:val="TableContents"/>
              <w:bidi w:val="0"/>
              <w:spacing w:before="0" w:after="0"/>
              <w:jc w:val="right"/>
              <w:rPr>
                <w:spacing w:val="0"/>
              </w:rPr>
            </w:pPr>
            <w:r>
              <w:rPr>
                <w:spacing w:val="0"/>
              </w:rPr>
              <w:t>98,891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95,238</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G-4**</w:t>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0"/>
              <w:jc w:val="center"/>
              <w:rPr>
                <w:spacing w:val="0"/>
              </w:rPr>
            </w:pPr>
            <w:r>
              <w:rPr>
                <w:spacing w:val="0"/>
              </w:rPr>
              <w:t>2023</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15" w:type="dxa"/>
            <w:tcBorders/>
            <w:vAlign w:val="center"/>
          </w:tcPr>
          <w:p>
            <w:pPr>
              <w:pStyle w:val="TableContents"/>
              <w:bidi w:val="0"/>
              <w:spacing w:before="0" w:after="0"/>
              <w:jc w:val="right"/>
              <w:rPr>
                <w:spacing w:val="0"/>
              </w:rPr>
            </w:pPr>
            <w:r>
              <w:rPr>
                <w:spacing w:val="0"/>
              </w:rPr>
              <w:t>4,362,476</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6" w:type="dxa"/>
            <w:tcBorders/>
            <w:vAlign w:val="center"/>
          </w:tcPr>
          <w:p>
            <w:pPr>
              <w:pStyle w:val="TableContents"/>
              <w:bidi w:val="0"/>
              <w:spacing w:before="0" w:after="0"/>
              <w:jc w:val="left"/>
              <w:rPr>
                <w:spacing w:val="0"/>
              </w:rPr>
            </w:pPr>
            <w:r>
              <w:rPr>
                <w:spacing w:val="0"/>
              </w:rPr>
              <w:t> </w:t>
            </w:r>
          </w:p>
        </w:tc>
        <w:tc>
          <w:tcPr>
            <w:tcW w:w="1214" w:type="dxa"/>
            <w:tcBorders/>
            <w:vAlign w:val="center"/>
          </w:tcPr>
          <w:p>
            <w:pPr>
              <w:pStyle w:val="TableContents"/>
              <w:bidi w:val="0"/>
              <w:spacing w:before="0" w:after="0"/>
              <w:jc w:val="right"/>
              <w:rPr>
                <w:spacing w:val="0"/>
              </w:rPr>
            </w:pPr>
            <w:r>
              <w:rPr>
                <w:spacing w:val="0"/>
              </w:rPr>
              <w:t>785,245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2" w:type="dxa"/>
            <w:tcBorders/>
            <w:vAlign w:val="center"/>
          </w:tcPr>
          <w:p>
            <w:pPr>
              <w:pStyle w:val="TableContents"/>
              <w:bidi w:val="0"/>
              <w:spacing w:before="0" w:after="0"/>
              <w:jc w:val="left"/>
              <w:rPr>
                <w:spacing w:val="0"/>
              </w:rPr>
            </w:pPr>
            <w:r>
              <w:rPr>
                <w:spacing w:val="0"/>
              </w:rPr>
              <w:t> </w:t>
            </w:r>
          </w:p>
        </w:tc>
        <w:tc>
          <w:tcPr>
            <w:tcW w:w="1068" w:type="dxa"/>
            <w:tcBorders/>
            <w:vAlign w:val="center"/>
          </w:tcPr>
          <w:p>
            <w:pPr>
              <w:pStyle w:val="TableContents"/>
              <w:bidi w:val="0"/>
              <w:spacing w:before="0" w:after="0"/>
              <w:jc w:val="right"/>
              <w:rPr>
                <w:spacing w:val="0"/>
              </w:rPr>
            </w:pPr>
            <w:r>
              <w:rPr>
                <w:spacing w:val="0"/>
              </w:rPr>
              <w:t>45,514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45,000</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convertible preferred stock</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15" w:type="dxa"/>
            <w:tcBorders/>
            <w:shd w:fill="CCEEFF" w:val="clear"/>
            <w:vAlign w:val="center"/>
          </w:tcPr>
          <w:p>
            <w:pPr>
              <w:pStyle w:val="TableContents"/>
              <w:bidi w:val="0"/>
              <w:spacing w:before="0" w:after="0"/>
              <w:jc w:val="right"/>
              <w:rPr>
                <w:spacing w:val="0"/>
              </w:rPr>
            </w:pPr>
            <w:r>
              <w:rPr>
                <w:spacing w:val="0"/>
              </w:rPr>
              <w:t>69,803,765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6" w:type="dxa"/>
            <w:tcBorders/>
            <w:shd w:fill="CCEEFF" w:val="clear"/>
            <w:vAlign w:val="center"/>
          </w:tcPr>
          <w:p>
            <w:pPr>
              <w:pStyle w:val="TableContents"/>
              <w:bidi w:val="0"/>
              <w:spacing w:before="0" w:after="0"/>
              <w:jc w:val="left"/>
              <w:rPr>
                <w:spacing w:val="0"/>
              </w:rPr>
            </w:pPr>
            <w:r>
              <w:rPr>
                <w:spacing w:val="0"/>
              </w:rPr>
              <w:t> </w:t>
            </w:r>
          </w:p>
        </w:tc>
        <w:tc>
          <w:tcPr>
            <w:tcW w:w="1214" w:type="dxa"/>
            <w:tcBorders/>
            <w:shd w:fill="CCEEFF" w:val="clear"/>
            <w:vAlign w:val="center"/>
          </w:tcPr>
          <w:p>
            <w:pPr>
              <w:pStyle w:val="TableContents"/>
              <w:bidi w:val="0"/>
              <w:spacing w:before="0" w:after="0"/>
              <w:jc w:val="right"/>
              <w:rPr>
                <w:spacing w:val="0"/>
              </w:rPr>
            </w:pPr>
            <w:r>
              <w:rPr>
                <w:spacing w:val="0"/>
              </w:rPr>
              <w:t>63,525,953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2" w:type="dxa"/>
            <w:tcBorders/>
            <w:shd w:fill="CCEEFF" w:val="clear"/>
            <w:vAlign w:val="center"/>
          </w:tcPr>
          <w:p>
            <w:pPr>
              <w:pStyle w:val="TableContents"/>
              <w:bidi w:val="0"/>
              <w:spacing w:before="0" w:after="0"/>
              <w:jc w:val="left"/>
              <w:rPr>
                <w:spacing w:val="0"/>
              </w:rPr>
            </w:pPr>
            <w:r>
              <w:rPr>
                <w:spacing w:val="0"/>
              </w:rPr>
              <w:t> </w:t>
            </w:r>
          </w:p>
        </w:tc>
        <w:tc>
          <w:tcPr>
            <w:tcW w:w="1068" w:type="dxa"/>
            <w:tcBorders/>
            <w:shd w:fill="CCEEFF" w:val="clear"/>
            <w:vAlign w:val="center"/>
          </w:tcPr>
          <w:p>
            <w:pPr>
              <w:pStyle w:val="TableContents"/>
              <w:bidi w:val="0"/>
              <w:spacing w:before="0" w:after="0"/>
              <w:jc w:val="right"/>
              <w:rPr>
                <w:spacing w:val="0"/>
              </w:rPr>
            </w:pPr>
            <w:r>
              <w:rPr>
                <w:spacing w:val="0"/>
              </w:rPr>
              <w:t>1,130,429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1,105,543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shd w:fill="FFFFFF" w:val="clear"/>
        </w:rPr>
      </w:pPr>
      <w:r>
        <w:rPr>
          <w:spacing w:val="0"/>
          <w:shd w:fill="FFFFFF" w:val="clear"/>
        </w:rPr>
        <w:t> </w:t>
      </w:r>
    </w:p>
    <w:tbl>
      <w:tblPr>
        <w:tblW w:w="5365" w:type="dxa"/>
        <w:jc w:val="left"/>
        <w:tblInd w:w="0" w:type="dxa"/>
        <w:tblLayout w:type="fixed"/>
        <w:tblCellMar>
          <w:top w:w="0" w:type="dxa"/>
          <w:left w:w="0" w:type="dxa"/>
          <w:bottom w:w="0" w:type="dxa"/>
          <w:right w:w="0" w:type="dxa"/>
        </w:tblCellMar>
      </w:tblPr>
      <w:tblGrid>
        <w:gridCol w:w="155"/>
        <w:gridCol w:w="5210"/>
      </w:tblGrid>
      <w:tr>
        <w:trPr/>
        <w:tc>
          <w:tcPr>
            <w:tcW w:w="155" w:type="dxa"/>
            <w:tcBorders/>
            <w:vAlign w:val="center"/>
          </w:tcPr>
          <w:p>
            <w:pPr>
              <w:pStyle w:val="TableContents"/>
              <w:bidi w:val="0"/>
              <w:spacing w:before="0" w:after="0"/>
              <w:jc w:val="left"/>
              <w:rPr>
                <w:spacing w:val="0"/>
              </w:rPr>
            </w:pPr>
            <w:r>
              <w:rPr>
                <w:spacing w:val="0"/>
              </w:rPr>
              <w:t>*</w:t>
            </w:r>
          </w:p>
        </w:tc>
        <w:tc>
          <w:tcPr>
            <w:tcW w:w="52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Excludes amounts related to the conversion of convertible note </w:t>
            </w:r>
          </w:p>
        </w:tc>
      </w:tr>
    </w:tbl>
    <w:tbl>
      <w:tblPr>
        <w:tblW w:w="5155" w:type="dxa"/>
        <w:jc w:val="left"/>
        <w:tblInd w:w="0" w:type="dxa"/>
        <w:tblLayout w:type="fixed"/>
        <w:tblCellMar>
          <w:top w:w="0" w:type="dxa"/>
          <w:left w:w="0" w:type="dxa"/>
          <w:bottom w:w="0" w:type="dxa"/>
          <w:right w:w="0" w:type="dxa"/>
        </w:tblCellMar>
      </w:tblPr>
      <w:tblGrid>
        <w:gridCol w:w="275"/>
        <w:gridCol w:w="4880"/>
      </w:tblGrid>
      <w:tr>
        <w:trPr/>
        <w:tc>
          <w:tcPr>
            <w:tcW w:w="275" w:type="dxa"/>
            <w:tcBorders/>
            <w:vAlign w:val="center"/>
          </w:tcPr>
          <w:p>
            <w:pPr>
              <w:pStyle w:val="TableContents"/>
              <w:bidi w:val="0"/>
              <w:spacing w:before="0" w:after="0"/>
              <w:jc w:val="left"/>
              <w:rPr>
                <w:spacing w:val="0"/>
              </w:rPr>
            </w:pPr>
            <w:r>
              <w:rPr>
                <w:spacing w:val="0"/>
              </w:rPr>
              <w:t>**</w:t>
            </w:r>
          </w:p>
        </w:tc>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Excludes amounts related to embedded conversion features </w:t>
            </w:r>
          </w:p>
        </w:tc>
      </w:tr>
    </w:tbl>
    <w:p>
      <w:pPr>
        <w:pStyle w:val="TextBody"/>
        <w:bidi w:val="0"/>
        <w:spacing w:before="0" w:after="0"/>
        <w:ind w:left="0" w:right="0" w:hanging="0"/>
        <w:jc w:val="left"/>
        <w:rPr>
          <w:spacing w:val="0"/>
          <w:shd w:fill="FFFFFF" w:val="clear"/>
        </w:rPr>
      </w:pPr>
      <w:r>
        <w:rPr>
          <w:spacing w:val="0"/>
          <w:shd w:fill="FFFFFF" w:val="clear"/>
        </w:rPr>
        <w:t> </w:t>
      </w:r>
    </w:p>
    <w:tbl>
      <w:tblPr>
        <w:tblW w:w="3430" w:type="dxa"/>
        <w:jc w:val="left"/>
        <w:tblInd w:w="0" w:type="dxa"/>
        <w:tblLayout w:type="fixed"/>
        <w:tblCellMar>
          <w:top w:w="0" w:type="dxa"/>
          <w:left w:w="0" w:type="dxa"/>
          <w:bottom w:w="0" w:type="dxa"/>
          <w:right w:w="0" w:type="dxa"/>
        </w:tblCellMar>
      </w:tblPr>
      <w:tblGrid>
        <w:gridCol w:w="335"/>
        <w:gridCol w:w="3095"/>
      </w:tblGrid>
      <w:tr>
        <w:trPr/>
        <w:tc>
          <w:tcPr>
            <w:tcW w:w="335" w:type="dxa"/>
            <w:tcBorders/>
            <w:vAlign w:val="center"/>
          </w:tcPr>
          <w:p>
            <w:pPr>
              <w:pStyle w:val="TableContents"/>
              <w:bidi w:val="0"/>
              <w:spacing w:before="0" w:after="0"/>
              <w:jc w:val="left"/>
              <w:rPr>
                <w:b/>
                <w:spacing w:val="0"/>
              </w:rPr>
            </w:pPr>
            <w:r>
              <w:rPr>
                <w:b/>
                <w:spacing w:val="0"/>
              </w:rPr>
              <w:t>10.</w:t>
            </w:r>
          </w:p>
        </w:tc>
        <w:tc>
          <w:tcPr>
            <w:tcW w:w="3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b/>
          <w:sz w:val="20"/>
          <w:shd w:fill="FFFFFF" w:val="clear"/>
        </w:rPr>
      </w:pPr>
      <w:r>
        <w:rPr>
          <w:rFonts w:ascii="Times New Roman" w:hAnsi="Times New Roman"/>
          <w:b/>
          <w:sz w:val="20"/>
          <w:shd w:fill="FFFFFF" w:val="clear"/>
        </w:rPr>
        <w:t xml:space="preserve">2015 Stock Plan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 2015, the Company adopted the Tempus AI, Inc. 2015 Stock Plan (the “2015 Plan”), which has been amended and restated numerous times to increase the aggregate shares authorized to be issued to employees, consultants, and directors of the Company. As of December 31, 2023, there were</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28,115,750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shares authorized under the 2015 Plan.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January 18, 2023, the Company approved a two-year extension of the expiration date for active employees whose RSUs expire either in 2023 or 2024. The Company accounted for the extension as a stock compensation modification, which resulted in an increase in unrecognized compensation cost of $47.5 million and $35.3 million for the three and six months ended June 30, 2024 and 2023,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three and six months ended June 30, 2024, the Company granted 1,647,906 and 1,933,606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RSUs,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respectively.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Restricted Stock Units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RSUs granted under the 2015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 agreement, which was satisifed in connection with the IPO. The table below summarizes restricted stock unit activity under the 2015 Plan for the six months ended June 30, 2024: </w:t>
      </w:r>
    </w:p>
    <w:p>
      <w:pPr>
        <w:pStyle w:val="TextBody"/>
        <w:bidi w:val="0"/>
        <w:spacing w:before="0" w:after="0"/>
        <w:jc w:val="left"/>
        <w:rPr>
          <w:spacing w:val="0"/>
          <w:shd w:fill="FFFFFF" w:val="clear"/>
        </w:rPr>
      </w:pPr>
      <w:r>
        <w:rPr>
          <w:spacing w:val="0"/>
          <w:shd w:fill="FFFFFF" w:val="clear"/>
        </w:rPr>
        <w:t> </w:t>
      </w:r>
    </w:p>
    <w:tbl>
      <w:tblPr>
        <w:tblW w:w="7580" w:type="dxa"/>
        <w:jc w:val="left"/>
        <w:tblInd w:w="0" w:type="dxa"/>
        <w:tblLayout w:type="fixed"/>
        <w:tblCellMar>
          <w:top w:w="0" w:type="dxa"/>
          <w:left w:w="0" w:type="dxa"/>
          <w:bottom w:w="0" w:type="dxa"/>
          <w:right w:w="0" w:type="dxa"/>
        </w:tblCellMar>
      </w:tblPr>
      <w:tblGrid>
        <w:gridCol w:w="2615"/>
        <w:gridCol w:w="120"/>
        <w:gridCol w:w="111"/>
        <w:gridCol w:w="2174"/>
        <w:gridCol w:w="95"/>
        <w:gridCol w:w="60"/>
        <w:gridCol w:w="466"/>
        <w:gridCol w:w="1864"/>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85" w:type="dxa"/>
            <w:gridSpan w:val="2"/>
            <w:tcBorders/>
            <w:vAlign w:val="center"/>
          </w:tcPr>
          <w:p>
            <w:pPr>
              <w:pStyle w:val="TableContents"/>
              <w:bidi w:val="0"/>
              <w:spacing w:before="0" w:after="0"/>
              <w:jc w:val="center"/>
              <w:rPr>
                <w:b/>
                <w:spacing w:val="0"/>
              </w:rPr>
            </w:pPr>
            <w:r>
              <w:rPr>
                <w:b/>
                <w:spacing w:val="0"/>
              </w:rPr>
              <w:t>Restricted Stock Units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330" w:type="dxa"/>
            <w:gridSpan w:val="2"/>
            <w:tcBorders/>
            <w:vAlign w:val="center"/>
          </w:tcPr>
          <w:p>
            <w:pPr>
              <w:pStyle w:val="TableContents"/>
              <w:bidi w:val="0"/>
              <w:spacing w:before="0" w:after="0"/>
              <w:jc w:val="center"/>
              <w:rPr>
                <w:b/>
                <w:spacing w:val="0"/>
              </w:rPr>
            </w:pPr>
            <w:r>
              <w:rPr>
                <w:b/>
                <w:spacing w:val="0"/>
              </w:rPr>
              <w:t xml:space="preserve">Weighted </w:t>
            </w:r>
          </w:p>
          <w:p>
            <w:pPr>
              <w:pStyle w:val="TableContents"/>
              <w:bidi w:val="0"/>
              <w:spacing w:before="0" w:after="0"/>
              <w:jc w:val="center"/>
              <w:rPr>
                <w:b/>
                <w:spacing w:val="0"/>
              </w:rPr>
            </w:pPr>
            <w:r>
              <w:rPr>
                <w:b/>
                <w:spacing w:val="0"/>
              </w:rPr>
              <w:t>-</w:t>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Grant Date Fair Value</w:t>
            </w:r>
          </w:p>
        </w:tc>
        <w:tc>
          <w:tcPr>
            <w:tcW w:w="75" w:type="dxa"/>
            <w:tcBorders/>
            <w:vAlign w:val="center"/>
          </w:tcPr>
          <w:p>
            <w:pPr>
              <w:pStyle w:val="TableContents"/>
              <w:bidi w:val="0"/>
              <w:spacing w:before="0" w:after="0"/>
              <w:jc w:val="left"/>
              <w:rPr>
                <w:spacing w:val="0"/>
              </w:rPr>
            </w:pPr>
            <w:r>
              <w:rPr>
                <w:spacing w:val="0"/>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at December 31, 2023</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1" w:type="dxa"/>
            <w:tcBorders/>
            <w:shd w:fill="CCEEFF" w:val="clear"/>
            <w:vAlign w:val="center"/>
          </w:tcPr>
          <w:p>
            <w:pPr>
              <w:pStyle w:val="TableContents"/>
              <w:bidi w:val="0"/>
              <w:spacing w:before="0" w:after="0"/>
              <w:jc w:val="left"/>
              <w:rPr>
                <w:spacing w:val="0"/>
              </w:rPr>
            </w:pPr>
            <w:r>
              <w:rPr>
                <w:spacing w:val="0"/>
              </w:rPr>
              <w:t> </w:t>
            </w:r>
          </w:p>
        </w:tc>
        <w:tc>
          <w:tcPr>
            <w:tcW w:w="2174" w:type="dxa"/>
            <w:tcBorders/>
            <w:shd w:fill="CCEEFF" w:val="clear"/>
            <w:vAlign w:val="center"/>
          </w:tcPr>
          <w:p>
            <w:pPr>
              <w:pStyle w:val="TableContents"/>
              <w:bidi w:val="0"/>
              <w:spacing w:before="0" w:after="0"/>
              <w:jc w:val="right"/>
              <w:rPr>
                <w:spacing w:val="0"/>
              </w:rPr>
            </w:pPr>
            <w:r>
              <w:rPr>
                <w:spacing w:val="0"/>
              </w:rPr>
              <w:t>20,788,500</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66" w:type="dxa"/>
            <w:tcBorders/>
            <w:shd w:fill="CCEEFF" w:val="clear"/>
            <w:vAlign w:val="center"/>
          </w:tcPr>
          <w:p>
            <w:pPr>
              <w:pStyle w:val="TableContents"/>
              <w:bidi w:val="0"/>
              <w:spacing w:before="0" w:after="0"/>
              <w:jc w:val="left"/>
              <w:rPr>
                <w:spacing w:val="0"/>
              </w:rPr>
            </w:pPr>
            <w:r>
              <w:rPr>
                <w:spacing w:val="0"/>
              </w:rPr>
              <w:t>$</w:t>
            </w:r>
          </w:p>
        </w:tc>
        <w:tc>
          <w:tcPr>
            <w:tcW w:w="1864" w:type="dxa"/>
            <w:tcBorders/>
            <w:shd w:fill="CCEEFF" w:val="clear"/>
            <w:vAlign w:val="center"/>
          </w:tcPr>
          <w:p>
            <w:pPr>
              <w:pStyle w:val="TableContents"/>
              <w:bidi w:val="0"/>
              <w:spacing w:before="0" w:after="0"/>
              <w:jc w:val="right"/>
              <w:rPr>
                <w:spacing w:val="0"/>
              </w:rPr>
            </w:pPr>
            <w:r>
              <w:rPr>
                <w:spacing w:val="0"/>
              </w:rPr>
              <w:t>26.47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0"/>
              <w:jc w:val="left"/>
              <w:rPr>
                <w:spacing w:val="0"/>
              </w:rPr>
            </w:pPr>
            <w:r>
              <w:rPr>
                <w:spacing w:val="0"/>
              </w:rPr>
              <w:t>  </w:t>
            </w:r>
          </w:p>
        </w:tc>
        <w:tc>
          <w:tcPr>
            <w:tcW w:w="111" w:type="dxa"/>
            <w:tcBorders/>
            <w:vAlign w:val="center"/>
          </w:tcPr>
          <w:p>
            <w:pPr>
              <w:pStyle w:val="TableContents"/>
              <w:bidi w:val="0"/>
              <w:spacing w:before="0" w:after="0"/>
              <w:jc w:val="left"/>
              <w:rPr>
                <w:spacing w:val="0"/>
              </w:rPr>
            </w:pPr>
            <w:r>
              <w:rPr>
                <w:spacing w:val="0"/>
              </w:rPr>
              <w:t> </w:t>
            </w:r>
          </w:p>
        </w:tc>
        <w:tc>
          <w:tcPr>
            <w:tcW w:w="2174" w:type="dxa"/>
            <w:tcBorders/>
            <w:vAlign w:val="center"/>
          </w:tcPr>
          <w:p>
            <w:pPr>
              <w:pStyle w:val="TableContents"/>
              <w:bidi w:val="0"/>
              <w:spacing w:before="0" w:after="0"/>
              <w:jc w:val="right"/>
              <w:rPr>
                <w:spacing w:val="0"/>
              </w:rPr>
            </w:pPr>
            <w:r>
              <w:rPr>
                <w:spacing w:val="0"/>
              </w:rPr>
              <w:t>1,933,606</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66" w:type="dxa"/>
            <w:tcBorders/>
            <w:vAlign w:val="center"/>
          </w:tcPr>
          <w:p>
            <w:pPr>
              <w:pStyle w:val="TableContents"/>
              <w:bidi w:val="0"/>
              <w:spacing w:before="0" w:after="0"/>
              <w:jc w:val="left"/>
              <w:rPr>
                <w:spacing w:val="0"/>
              </w:rPr>
            </w:pPr>
            <w:r>
              <w:rPr>
                <w:spacing w:val="0"/>
              </w:rPr>
              <w:t>$</w:t>
            </w:r>
          </w:p>
        </w:tc>
        <w:tc>
          <w:tcPr>
            <w:tcW w:w="1864" w:type="dxa"/>
            <w:tcBorders/>
            <w:vAlign w:val="center"/>
          </w:tcPr>
          <w:p>
            <w:pPr>
              <w:pStyle w:val="TableContents"/>
              <w:bidi w:val="0"/>
              <w:spacing w:before="0" w:after="0"/>
              <w:jc w:val="right"/>
              <w:rPr>
                <w:spacing w:val="0"/>
              </w:rPr>
            </w:pPr>
            <w:r>
              <w:rPr>
                <w:spacing w:val="0"/>
              </w:rPr>
              <w:t>37.59</w:t>
            </w:r>
          </w:p>
        </w:tc>
        <w:tc>
          <w:tcPr>
            <w:tcW w:w="75" w:type="dxa"/>
            <w:tcBorders/>
            <w:vAlign w:val="center"/>
          </w:tcPr>
          <w:p>
            <w:pPr>
              <w:pStyle w:val="TableContents"/>
              <w:bidi w:val="0"/>
              <w:spacing w:before="0" w:after="0"/>
              <w:jc w:val="left"/>
              <w:rPr>
                <w:spacing w:val="0"/>
              </w:rPr>
            </w:pPr>
            <w:r>
              <w:rPr>
                <w:spacing w:val="0"/>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settled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1" w:type="dxa"/>
            <w:tcBorders/>
            <w:shd w:fill="CCEEFF" w:val="clear"/>
            <w:vAlign w:val="center"/>
          </w:tcPr>
          <w:p>
            <w:pPr>
              <w:pStyle w:val="TableContents"/>
              <w:bidi w:val="0"/>
              <w:spacing w:before="0" w:after="0"/>
              <w:jc w:val="left"/>
              <w:rPr>
                <w:spacing w:val="0"/>
              </w:rPr>
            </w:pPr>
            <w:r>
              <w:rPr>
                <w:spacing w:val="0"/>
              </w:rPr>
              <w:t> </w:t>
            </w:r>
          </w:p>
        </w:tc>
        <w:tc>
          <w:tcPr>
            <w:tcW w:w="2174" w:type="dxa"/>
            <w:tcBorders/>
            <w:shd w:fill="CCEEFF" w:val="clear"/>
            <w:vAlign w:val="center"/>
          </w:tcPr>
          <w:p>
            <w:pPr>
              <w:pStyle w:val="TableContents"/>
              <w:bidi w:val="0"/>
              <w:spacing w:before="0" w:after="0"/>
              <w:jc w:val="right"/>
              <w:rPr>
                <w:spacing w:val="0"/>
              </w:rPr>
            </w:pPr>
            <w:r>
              <w:rPr>
                <w:spacing w:val="0"/>
              </w:rPr>
              <w:t>(4,563,164</w:t>
            </w:r>
          </w:p>
        </w:tc>
        <w:tc>
          <w:tcPr>
            <w:tcW w:w="9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66" w:type="dxa"/>
            <w:tcBorders/>
            <w:shd w:fill="CCEEFF" w:val="clear"/>
            <w:vAlign w:val="center"/>
          </w:tcPr>
          <w:p>
            <w:pPr>
              <w:pStyle w:val="TableContents"/>
              <w:bidi w:val="0"/>
              <w:spacing w:before="0" w:after="0"/>
              <w:jc w:val="left"/>
              <w:rPr>
                <w:spacing w:val="0"/>
              </w:rPr>
            </w:pPr>
            <w:r>
              <w:rPr>
                <w:spacing w:val="0"/>
              </w:rPr>
              <w:t>$</w:t>
            </w:r>
          </w:p>
        </w:tc>
        <w:tc>
          <w:tcPr>
            <w:tcW w:w="1864" w:type="dxa"/>
            <w:tcBorders/>
            <w:shd w:fill="CCEEFF" w:val="clear"/>
            <w:vAlign w:val="center"/>
          </w:tcPr>
          <w:p>
            <w:pPr>
              <w:pStyle w:val="TableContents"/>
              <w:bidi w:val="0"/>
              <w:spacing w:before="0" w:after="0"/>
              <w:jc w:val="right"/>
              <w:rPr>
                <w:spacing w:val="0"/>
              </w:rPr>
            </w:pPr>
            <w:r>
              <w:rPr>
                <w:spacing w:val="0"/>
              </w:rPr>
              <w:t>11.93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not yet settled</w:t>
            </w:r>
          </w:p>
        </w:tc>
        <w:tc>
          <w:tcPr>
            <w:tcW w:w="120" w:type="dxa"/>
            <w:tcBorders/>
            <w:vAlign w:val="center"/>
          </w:tcPr>
          <w:p>
            <w:pPr>
              <w:pStyle w:val="TableContents"/>
              <w:bidi w:val="0"/>
              <w:spacing w:before="0" w:after="0"/>
              <w:jc w:val="left"/>
              <w:rPr>
                <w:spacing w:val="0"/>
              </w:rPr>
            </w:pPr>
            <w:r>
              <w:rPr>
                <w:spacing w:val="0"/>
              </w:rPr>
              <w:t>  </w:t>
            </w:r>
          </w:p>
        </w:tc>
        <w:tc>
          <w:tcPr>
            <w:tcW w:w="111" w:type="dxa"/>
            <w:tcBorders/>
            <w:vAlign w:val="center"/>
          </w:tcPr>
          <w:p>
            <w:pPr>
              <w:pStyle w:val="TableContents"/>
              <w:bidi w:val="0"/>
              <w:spacing w:before="0" w:after="0"/>
              <w:jc w:val="left"/>
              <w:rPr>
                <w:spacing w:val="0"/>
              </w:rPr>
            </w:pPr>
            <w:r>
              <w:rPr>
                <w:spacing w:val="0"/>
              </w:rPr>
              <w:t> </w:t>
            </w:r>
          </w:p>
        </w:tc>
        <w:tc>
          <w:tcPr>
            <w:tcW w:w="2174" w:type="dxa"/>
            <w:tcBorders/>
            <w:vAlign w:val="center"/>
          </w:tcPr>
          <w:p>
            <w:pPr>
              <w:pStyle w:val="TableContents"/>
              <w:bidi w:val="0"/>
              <w:spacing w:before="0" w:after="0"/>
              <w:jc w:val="right"/>
              <w:rPr>
                <w:spacing w:val="0"/>
              </w:rPr>
            </w:pPr>
            <w:r>
              <w:rPr>
                <w:spacing w:val="0"/>
              </w:rPr>
              <w:t>(10,870,652</w:t>
            </w:r>
          </w:p>
        </w:tc>
        <w:tc>
          <w:tcPr>
            <w:tcW w:w="9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466" w:type="dxa"/>
            <w:tcBorders/>
            <w:vAlign w:val="center"/>
          </w:tcPr>
          <w:p>
            <w:pPr>
              <w:pStyle w:val="TableContents"/>
              <w:bidi w:val="0"/>
              <w:spacing w:before="0" w:after="0"/>
              <w:jc w:val="left"/>
              <w:rPr>
                <w:spacing w:val="0"/>
              </w:rPr>
            </w:pPr>
            <w:r>
              <w:rPr>
                <w:spacing w:val="0"/>
              </w:rPr>
              <w:t>$</w:t>
            </w:r>
          </w:p>
        </w:tc>
        <w:tc>
          <w:tcPr>
            <w:tcW w:w="1864" w:type="dxa"/>
            <w:tcBorders/>
            <w:vAlign w:val="center"/>
          </w:tcPr>
          <w:p>
            <w:pPr>
              <w:pStyle w:val="TableContents"/>
              <w:bidi w:val="0"/>
              <w:spacing w:before="0" w:after="0"/>
              <w:jc w:val="right"/>
              <w:rPr>
                <w:spacing w:val="0"/>
              </w:rPr>
            </w:pPr>
            <w:r>
              <w:rPr>
                <w:spacing w:val="0"/>
              </w:rPr>
              <w:t>24.46</w:t>
            </w:r>
          </w:p>
        </w:tc>
        <w:tc>
          <w:tcPr>
            <w:tcW w:w="75" w:type="dxa"/>
            <w:tcBorders/>
            <w:vAlign w:val="center"/>
          </w:tcPr>
          <w:p>
            <w:pPr>
              <w:pStyle w:val="TableContents"/>
              <w:bidi w:val="0"/>
              <w:spacing w:before="0" w:after="0"/>
              <w:jc w:val="left"/>
              <w:rPr>
                <w:spacing w:val="0"/>
              </w:rPr>
            </w:pPr>
            <w:r>
              <w:rPr>
                <w:spacing w:val="0"/>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1" w:type="dxa"/>
            <w:tcBorders/>
            <w:shd w:fill="CCEEFF" w:val="clear"/>
            <w:vAlign w:val="center"/>
          </w:tcPr>
          <w:p>
            <w:pPr>
              <w:pStyle w:val="TableContents"/>
              <w:bidi w:val="0"/>
              <w:spacing w:before="0" w:after="0"/>
              <w:jc w:val="left"/>
              <w:rPr>
                <w:spacing w:val="0"/>
              </w:rPr>
            </w:pPr>
            <w:r>
              <w:rPr>
                <w:spacing w:val="0"/>
              </w:rPr>
              <w:t> </w:t>
            </w:r>
          </w:p>
        </w:tc>
        <w:tc>
          <w:tcPr>
            <w:tcW w:w="2174" w:type="dxa"/>
            <w:tcBorders/>
            <w:shd w:fill="CCEEFF" w:val="clear"/>
            <w:vAlign w:val="center"/>
          </w:tcPr>
          <w:p>
            <w:pPr>
              <w:pStyle w:val="TableContents"/>
              <w:bidi w:val="0"/>
              <w:spacing w:before="0" w:after="0"/>
              <w:jc w:val="right"/>
              <w:rPr>
                <w:spacing w:val="0"/>
              </w:rPr>
            </w:pPr>
            <w:r>
              <w:rPr>
                <w:spacing w:val="0"/>
              </w:rPr>
              <w:t>(457,785</w:t>
            </w:r>
          </w:p>
        </w:tc>
        <w:tc>
          <w:tcPr>
            <w:tcW w:w="9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66" w:type="dxa"/>
            <w:tcBorders/>
            <w:shd w:fill="CCEEFF" w:val="clear"/>
            <w:vAlign w:val="center"/>
          </w:tcPr>
          <w:p>
            <w:pPr>
              <w:pStyle w:val="TableContents"/>
              <w:bidi w:val="0"/>
              <w:spacing w:before="0" w:after="0"/>
              <w:jc w:val="left"/>
              <w:rPr>
                <w:spacing w:val="0"/>
              </w:rPr>
            </w:pPr>
            <w:r>
              <w:rPr>
                <w:spacing w:val="0"/>
              </w:rPr>
              <w:t>$</w:t>
            </w:r>
          </w:p>
        </w:tc>
        <w:tc>
          <w:tcPr>
            <w:tcW w:w="1864" w:type="dxa"/>
            <w:tcBorders/>
            <w:shd w:fill="CCEEFF" w:val="clear"/>
            <w:vAlign w:val="center"/>
          </w:tcPr>
          <w:p>
            <w:pPr>
              <w:pStyle w:val="TableContents"/>
              <w:bidi w:val="0"/>
              <w:spacing w:before="0" w:after="0"/>
              <w:jc w:val="right"/>
              <w:rPr>
                <w:spacing w:val="0"/>
              </w:rPr>
            </w:pPr>
            <w:r>
              <w:rPr>
                <w:spacing w:val="0"/>
              </w:rPr>
              <w:t>25.58</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Expired</w:t>
            </w:r>
          </w:p>
        </w:tc>
        <w:tc>
          <w:tcPr>
            <w:tcW w:w="120" w:type="dxa"/>
            <w:tcBorders/>
            <w:vAlign w:val="center"/>
          </w:tcPr>
          <w:p>
            <w:pPr>
              <w:pStyle w:val="TableContents"/>
              <w:bidi w:val="0"/>
              <w:spacing w:before="0" w:after="0"/>
              <w:jc w:val="left"/>
              <w:rPr>
                <w:spacing w:val="0"/>
              </w:rPr>
            </w:pPr>
            <w:r>
              <w:rPr>
                <w:spacing w:val="0"/>
              </w:rPr>
              <w:t>  </w:t>
            </w:r>
          </w:p>
        </w:tc>
        <w:tc>
          <w:tcPr>
            <w:tcW w:w="111" w:type="dxa"/>
            <w:tcBorders/>
            <w:vAlign w:val="center"/>
          </w:tcPr>
          <w:p>
            <w:pPr>
              <w:pStyle w:val="TableContents"/>
              <w:bidi w:val="0"/>
              <w:spacing w:before="0" w:after="0"/>
              <w:jc w:val="left"/>
              <w:rPr>
                <w:spacing w:val="0"/>
              </w:rPr>
            </w:pPr>
            <w:r>
              <w:rPr>
                <w:spacing w:val="0"/>
              </w:rPr>
              <w:t> </w:t>
            </w:r>
          </w:p>
        </w:tc>
        <w:tc>
          <w:tcPr>
            <w:tcW w:w="2174" w:type="dxa"/>
            <w:tcBorders/>
            <w:vAlign w:val="center"/>
          </w:tcPr>
          <w:p>
            <w:pPr>
              <w:pStyle w:val="TableContents"/>
              <w:bidi w:val="0"/>
              <w:spacing w:before="0" w:after="0"/>
              <w:jc w:val="right"/>
              <w:rPr>
                <w:spacing w:val="0"/>
              </w:rPr>
            </w:pPr>
            <w:r>
              <w:rPr>
                <w:spacing w:val="0"/>
              </w:rPr>
              <w:t>(147,376</w:t>
            </w:r>
          </w:p>
        </w:tc>
        <w:tc>
          <w:tcPr>
            <w:tcW w:w="9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466" w:type="dxa"/>
            <w:tcBorders/>
            <w:vAlign w:val="center"/>
          </w:tcPr>
          <w:p>
            <w:pPr>
              <w:pStyle w:val="TableContents"/>
              <w:bidi w:val="0"/>
              <w:spacing w:before="0" w:after="0"/>
              <w:jc w:val="left"/>
              <w:rPr>
                <w:spacing w:val="0"/>
              </w:rPr>
            </w:pPr>
            <w:r>
              <w:rPr>
                <w:spacing w:val="0"/>
              </w:rPr>
              <w:t>$</w:t>
            </w:r>
          </w:p>
        </w:tc>
        <w:tc>
          <w:tcPr>
            <w:tcW w:w="1864" w:type="dxa"/>
            <w:tcBorders/>
            <w:vAlign w:val="center"/>
          </w:tcPr>
          <w:p>
            <w:pPr>
              <w:pStyle w:val="TableContents"/>
              <w:bidi w:val="0"/>
              <w:spacing w:before="0" w:after="0"/>
              <w:jc w:val="right"/>
              <w:rPr>
                <w:spacing w:val="0"/>
              </w:rPr>
            </w:pPr>
            <w:r>
              <w:rPr>
                <w:spacing w:val="0"/>
              </w:rPr>
              <w:t>0.28</w:t>
            </w:r>
          </w:p>
        </w:tc>
        <w:tc>
          <w:tcPr>
            <w:tcW w:w="75" w:type="dxa"/>
            <w:tcBorders/>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at June 30, 2024</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1" w:type="dxa"/>
            <w:tcBorders/>
            <w:shd w:fill="CCEEFF" w:val="clear"/>
            <w:vAlign w:val="center"/>
          </w:tcPr>
          <w:p>
            <w:pPr>
              <w:pStyle w:val="TableContents"/>
              <w:bidi w:val="0"/>
              <w:spacing w:before="0" w:after="0"/>
              <w:jc w:val="left"/>
              <w:rPr>
                <w:spacing w:val="0"/>
              </w:rPr>
            </w:pPr>
            <w:r>
              <w:rPr>
                <w:spacing w:val="0"/>
              </w:rPr>
              <w:t> </w:t>
            </w:r>
          </w:p>
        </w:tc>
        <w:tc>
          <w:tcPr>
            <w:tcW w:w="2174" w:type="dxa"/>
            <w:tcBorders/>
            <w:shd w:fill="CCEEFF" w:val="clear"/>
            <w:vAlign w:val="center"/>
          </w:tcPr>
          <w:p>
            <w:pPr>
              <w:pStyle w:val="TableContents"/>
              <w:bidi w:val="0"/>
              <w:spacing w:before="0" w:after="0"/>
              <w:jc w:val="right"/>
              <w:rPr>
                <w:spacing w:val="0"/>
              </w:rPr>
            </w:pPr>
            <w:r>
              <w:rPr>
                <w:spacing w:val="0"/>
              </w:rPr>
              <w:t>6,683,129</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466" w:type="dxa"/>
            <w:tcBorders/>
            <w:shd w:fill="CCEEFF" w:val="clear"/>
            <w:vAlign w:val="center"/>
          </w:tcPr>
          <w:p>
            <w:pPr>
              <w:pStyle w:val="TableContents"/>
              <w:bidi w:val="0"/>
              <w:spacing w:before="0" w:after="0"/>
              <w:jc w:val="left"/>
              <w:rPr>
                <w:spacing w:val="0"/>
              </w:rPr>
            </w:pPr>
            <w:r>
              <w:rPr>
                <w:spacing w:val="0"/>
              </w:rPr>
              <w:t>$</w:t>
            </w:r>
          </w:p>
        </w:tc>
        <w:tc>
          <w:tcPr>
            <w:tcW w:w="1864" w:type="dxa"/>
            <w:tcBorders/>
            <w:shd w:fill="CCEEFF" w:val="clear"/>
            <w:vAlign w:val="center"/>
          </w:tcPr>
          <w:p>
            <w:pPr>
              <w:pStyle w:val="TableContents"/>
              <w:bidi w:val="0"/>
              <w:spacing w:before="0" w:after="0"/>
              <w:jc w:val="right"/>
              <w:rPr>
                <w:spacing w:val="0"/>
              </w:rPr>
            </w:pPr>
            <w:r>
              <w:rPr>
                <w:spacing w:val="0"/>
              </w:rPr>
              <w:t>36.77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21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Stock-based compensation is classified as follows in the accompanying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condensed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consolidated statements of operations for the three and six months ended June 30, 2024 and 2023 (in thousands): </w:t>
      </w:r>
    </w:p>
    <w:p>
      <w:pPr>
        <w:pStyle w:val="TextBody"/>
        <w:bidi w:val="0"/>
        <w:spacing w:before="0" w:after="0"/>
        <w:ind w:left="0" w:right="0" w:hanging="0"/>
        <w:jc w:val="left"/>
        <w:rPr>
          <w:spacing w:val="0"/>
          <w:shd w:fill="FFFFFF" w:val="clear"/>
        </w:rPr>
      </w:pPr>
      <w:r>
        <w:rPr>
          <w:spacing w:val="0"/>
          <w:shd w:fill="FFFFFF" w:val="clear"/>
        </w:rPr>
        <w:t> </w:t>
      </w:r>
    </w:p>
    <w:tbl>
      <w:tblPr>
        <w:tblW w:w="9324" w:type="dxa"/>
        <w:jc w:val="left"/>
        <w:tblInd w:w="0" w:type="dxa"/>
        <w:tblLayout w:type="fixed"/>
        <w:tblCellMar>
          <w:top w:w="0" w:type="dxa"/>
          <w:left w:w="0" w:type="dxa"/>
          <w:bottom w:w="0" w:type="dxa"/>
          <w:right w:w="0" w:type="dxa"/>
        </w:tblCellMar>
      </w:tblPr>
      <w:tblGrid>
        <w:gridCol w:w="3185"/>
        <w:gridCol w:w="120"/>
        <w:gridCol w:w="279"/>
        <w:gridCol w:w="1596"/>
        <w:gridCol w:w="119"/>
        <w:gridCol w:w="238"/>
        <w:gridCol w:w="279"/>
        <w:gridCol w:w="521"/>
        <w:gridCol w:w="60"/>
        <w:gridCol w:w="120"/>
        <w:gridCol w:w="251"/>
        <w:gridCol w:w="1438"/>
        <w:gridCol w:w="107"/>
        <w:gridCol w:w="215"/>
        <w:gridCol w:w="251"/>
        <w:gridCol w:w="470"/>
        <w:gridCol w:w="75"/>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32" w:type="dxa"/>
            <w:gridSpan w:val="6"/>
            <w:tcBorders/>
            <w:vAlign w:val="center"/>
          </w:tcPr>
          <w:p>
            <w:pPr>
              <w:pStyle w:val="TableContents"/>
              <w:bidi w:val="0"/>
              <w:spacing w:before="0" w:after="0"/>
              <w:jc w:val="center"/>
              <w:rPr>
                <w:b/>
                <w:spacing w:val="0"/>
              </w:rPr>
            </w:pPr>
            <w:r>
              <w:rPr>
                <w:b/>
                <w:spacing w:val="0"/>
              </w:rPr>
              <w:t>Three months ended June 30,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32" w:type="dxa"/>
            <w:gridSpan w:val="6"/>
            <w:tcBorders/>
            <w:vAlign w:val="center"/>
          </w:tcPr>
          <w:p>
            <w:pPr>
              <w:pStyle w:val="TableContents"/>
              <w:bidi w:val="0"/>
              <w:spacing w:before="0" w:after="0"/>
              <w:jc w:val="center"/>
              <w:rPr>
                <w:b/>
                <w:spacing w:val="0"/>
              </w:rPr>
            </w:pPr>
            <w:r>
              <w:rPr>
                <w:b/>
                <w:spacing w:val="0"/>
              </w:rPr>
              <w:t>Six months ended June 30,</w:t>
            </w:r>
          </w:p>
        </w:tc>
        <w:tc>
          <w:tcPr>
            <w:tcW w:w="75" w:type="dxa"/>
            <w:tcBorders/>
            <w:vAlign w:val="center"/>
          </w:tcPr>
          <w:p>
            <w:pPr>
              <w:pStyle w:val="TableContents"/>
              <w:bidi w:val="0"/>
              <w:spacing w:before="0" w:after="0"/>
              <w:jc w:val="left"/>
              <w:rPr>
                <w:spacing w:val="0"/>
              </w:rPr>
            </w:pPr>
            <w:r>
              <w:rPr>
                <w:spacing w:val="0"/>
              </w:rPr>
              <w:t> </w:t>
            </w:r>
          </w:p>
        </w:tc>
      </w:tr>
      <w:tr>
        <w:trPr/>
        <w:tc>
          <w:tcPr>
            <w:tcW w:w="31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75" w:type="dxa"/>
            <w:gridSpan w:val="2"/>
            <w:tcBorders/>
            <w:vAlign w:val="center"/>
          </w:tcPr>
          <w:p>
            <w:pPr>
              <w:pStyle w:val="TableContents"/>
              <w:bidi w:val="0"/>
              <w:spacing w:before="0" w:after="0"/>
              <w:jc w:val="center"/>
              <w:rPr>
                <w:b/>
                <w:spacing w:val="0"/>
              </w:rPr>
            </w:pPr>
            <w:r>
              <w:rPr>
                <w:b/>
                <w:spacing w:val="0"/>
              </w:rPr>
              <w:t>2024</w:t>
            </w:r>
          </w:p>
        </w:tc>
        <w:tc>
          <w:tcPr>
            <w:tcW w:w="119" w:type="dxa"/>
            <w:tcBorders/>
            <w:vAlign w:val="center"/>
          </w:tcPr>
          <w:p>
            <w:pPr>
              <w:pStyle w:val="TableContents"/>
              <w:bidi w:val="0"/>
              <w:spacing w:before="0" w:after="0"/>
              <w:jc w:val="left"/>
              <w:rPr>
                <w:spacing w:val="0"/>
              </w:rPr>
            </w:pPr>
            <w:r>
              <w:rPr>
                <w:spacing w:val="0"/>
              </w:rPr>
              <w:t> </w:t>
            </w:r>
          </w:p>
        </w:tc>
        <w:tc>
          <w:tcPr>
            <w:tcW w:w="238" w:type="dxa"/>
            <w:tcBorders/>
            <w:vAlign w:val="center"/>
          </w:tcPr>
          <w:p>
            <w:pPr>
              <w:pStyle w:val="TableContents"/>
              <w:bidi w:val="0"/>
              <w:spacing w:before="0" w:after="0"/>
              <w:jc w:val="left"/>
              <w:rPr>
                <w:spacing w:val="0"/>
              </w:rPr>
            </w:pPr>
            <w:r>
              <w:rPr>
                <w:spacing w:val="0"/>
              </w:rPr>
              <w:t>  </w:t>
            </w:r>
          </w:p>
        </w:tc>
        <w:tc>
          <w:tcPr>
            <w:tcW w:w="80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89" w:type="dxa"/>
            <w:gridSpan w:val="2"/>
            <w:tcBorders/>
            <w:vAlign w:val="center"/>
          </w:tcPr>
          <w:p>
            <w:pPr>
              <w:pStyle w:val="TableContents"/>
              <w:bidi w:val="0"/>
              <w:spacing w:before="0" w:after="0"/>
              <w:jc w:val="center"/>
              <w:rPr>
                <w:b/>
                <w:spacing w:val="0"/>
              </w:rPr>
            </w:pPr>
            <w:r>
              <w:rPr>
                <w:b/>
                <w:spacing w:val="0"/>
              </w:rPr>
              <w:t>2024</w:t>
            </w:r>
          </w:p>
        </w:tc>
        <w:tc>
          <w:tcPr>
            <w:tcW w:w="107" w:type="dxa"/>
            <w:tcBorders/>
            <w:vAlign w:val="center"/>
          </w:tcPr>
          <w:p>
            <w:pPr>
              <w:pStyle w:val="TableContents"/>
              <w:bidi w:val="0"/>
              <w:spacing w:before="0" w:after="0"/>
              <w:jc w:val="left"/>
              <w:rPr>
                <w:spacing w:val="0"/>
              </w:rPr>
            </w:pPr>
            <w:r>
              <w:rPr>
                <w:spacing w:val="0"/>
              </w:rPr>
              <w:t> </w:t>
            </w:r>
          </w:p>
        </w:tc>
        <w:tc>
          <w:tcPr>
            <w:tcW w:w="215" w:type="dxa"/>
            <w:tcBorders/>
            <w:vAlign w:val="center"/>
          </w:tcPr>
          <w:p>
            <w:pPr>
              <w:pStyle w:val="TableContents"/>
              <w:bidi w:val="0"/>
              <w:spacing w:before="0" w:after="0"/>
              <w:jc w:val="left"/>
              <w:rPr>
                <w:spacing w:val="0"/>
              </w:rPr>
            </w:pPr>
            <w:r>
              <w:rPr>
                <w:spacing w:val="0"/>
              </w:rPr>
              <w:t>  </w:t>
            </w:r>
          </w:p>
        </w:tc>
        <w:tc>
          <w:tcPr>
            <w:tcW w:w="721"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31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revenues, genomics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9" w:type="dxa"/>
            <w:tcBorders/>
            <w:shd w:fill="CCEEFF" w:val="clear"/>
            <w:vAlign w:val="center"/>
          </w:tcPr>
          <w:p>
            <w:pPr>
              <w:pStyle w:val="TableContents"/>
              <w:bidi w:val="0"/>
              <w:spacing w:before="0" w:after="0"/>
              <w:jc w:val="left"/>
              <w:rPr>
                <w:spacing w:val="0"/>
              </w:rPr>
            </w:pPr>
            <w:r>
              <w:rPr>
                <w:spacing w:val="0"/>
              </w:rPr>
              <w:t>$</w:t>
            </w:r>
          </w:p>
        </w:tc>
        <w:tc>
          <w:tcPr>
            <w:tcW w:w="1596" w:type="dxa"/>
            <w:tcBorders/>
            <w:shd w:fill="CCEEFF" w:val="clear"/>
            <w:vAlign w:val="center"/>
          </w:tcPr>
          <w:p>
            <w:pPr>
              <w:pStyle w:val="TableContents"/>
              <w:bidi w:val="0"/>
              <w:spacing w:before="0" w:after="0"/>
              <w:jc w:val="right"/>
              <w:rPr>
                <w:spacing w:val="0"/>
              </w:rPr>
            </w:pPr>
            <w:r>
              <w:rPr>
                <w:spacing w:val="0"/>
              </w:rPr>
              <w:t>11,327</w:t>
            </w:r>
          </w:p>
        </w:tc>
        <w:tc>
          <w:tcPr>
            <w:tcW w:w="119" w:type="dxa"/>
            <w:tcBorders/>
            <w:shd w:fill="CCEEFF" w:val="clear"/>
            <w:vAlign w:val="center"/>
          </w:tcPr>
          <w:p>
            <w:pPr>
              <w:pStyle w:val="TableContents"/>
              <w:bidi w:val="0"/>
              <w:spacing w:before="0" w:after="0"/>
              <w:jc w:val="left"/>
              <w:rPr>
                <w:spacing w:val="0"/>
              </w:rPr>
            </w:pPr>
            <w:r>
              <w:rPr>
                <w:spacing w:val="0"/>
              </w:rPr>
              <w:t> </w:t>
            </w:r>
          </w:p>
        </w:tc>
        <w:tc>
          <w:tcPr>
            <w:tcW w:w="238" w:type="dxa"/>
            <w:tcBorders/>
            <w:shd w:fill="CCEEFF" w:val="clear"/>
            <w:vAlign w:val="center"/>
          </w:tcPr>
          <w:p>
            <w:pPr>
              <w:pStyle w:val="TableContents"/>
              <w:bidi w:val="0"/>
              <w:spacing w:before="0" w:after="0"/>
              <w:jc w:val="left"/>
              <w:rPr>
                <w:spacing w:val="0"/>
              </w:rPr>
            </w:pPr>
            <w:r>
              <w:rPr>
                <w:spacing w:val="0"/>
              </w:rPr>
              <w:t>  </w:t>
            </w:r>
          </w:p>
        </w:tc>
        <w:tc>
          <w:tcPr>
            <w:tcW w:w="279" w:type="dxa"/>
            <w:tcBorders/>
            <w:shd w:fill="CCEEFF" w:val="clear"/>
            <w:vAlign w:val="center"/>
          </w:tcPr>
          <w:p>
            <w:pPr>
              <w:pStyle w:val="TableContents"/>
              <w:bidi w:val="0"/>
              <w:spacing w:before="0" w:after="0"/>
              <w:jc w:val="left"/>
              <w:rPr>
                <w:spacing w:val="0"/>
              </w:rPr>
            </w:pPr>
            <w:r>
              <w:rPr>
                <w:spacing w:val="0"/>
              </w:rPr>
              <w:t>$</w:t>
            </w:r>
          </w:p>
        </w:tc>
        <w:tc>
          <w:tcPr>
            <w:tcW w:w="521"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51" w:type="dxa"/>
            <w:tcBorders/>
            <w:shd w:fill="CCEEFF" w:val="clear"/>
            <w:vAlign w:val="center"/>
          </w:tcPr>
          <w:p>
            <w:pPr>
              <w:pStyle w:val="TableContents"/>
              <w:bidi w:val="0"/>
              <w:spacing w:before="0" w:after="0"/>
              <w:jc w:val="left"/>
              <w:rPr>
                <w:spacing w:val="0"/>
              </w:rPr>
            </w:pPr>
            <w:r>
              <w:rPr>
                <w:spacing w:val="0"/>
              </w:rPr>
              <w:t>$</w:t>
            </w:r>
          </w:p>
        </w:tc>
        <w:tc>
          <w:tcPr>
            <w:tcW w:w="1438" w:type="dxa"/>
            <w:tcBorders/>
            <w:shd w:fill="CCEEFF" w:val="clear"/>
            <w:vAlign w:val="center"/>
          </w:tcPr>
          <w:p>
            <w:pPr>
              <w:pStyle w:val="TableContents"/>
              <w:bidi w:val="0"/>
              <w:spacing w:before="0" w:after="0"/>
              <w:jc w:val="right"/>
              <w:rPr>
                <w:spacing w:val="0"/>
              </w:rPr>
            </w:pPr>
            <w:r>
              <w:rPr>
                <w:spacing w:val="0"/>
              </w:rPr>
              <w:t>11,327</w:t>
            </w:r>
          </w:p>
        </w:tc>
        <w:tc>
          <w:tcPr>
            <w:tcW w:w="107" w:type="dxa"/>
            <w:tcBorders/>
            <w:shd w:fill="CCEEFF" w:val="clear"/>
            <w:vAlign w:val="center"/>
          </w:tcPr>
          <w:p>
            <w:pPr>
              <w:pStyle w:val="TableContents"/>
              <w:bidi w:val="0"/>
              <w:spacing w:before="0" w:after="0"/>
              <w:jc w:val="left"/>
              <w:rPr>
                <w:spacing w:val="0"/>
              </w:rPr>
            </w:pPr>
            <w:r>
              <w:rPr>
                <w:spacing w:val="0"/>
              </w:rPr>
              <w:t> </w:t>
            </w:r>
          </w:p>
        </w:tc>
        <w:tc>
          <w:tcPr>
            <w:tcW w:w="215" w:type="dxa"/>
            <w:tcBorders/>
            <w:shd w:fill="CCEEFF" w:val="clear"/>
            <w:vAlign w:val="center"/>
          </w:tcPr>
          <w:p>
            <w:pPr>
              <w:pStyle w:val="TableContents"/>
              <w:bidi w:val="0"/>
              <w:spacing w:before="0" w:after="0"/>
              <w:jc w:val="left"/>
              <w:rPr>
                <w:spacing w:val="0"/>
              </w:rPr>
            </w:pPr>
            <w:r>
              <w:rPr>
                <w:spacing w:val="0"/>
              </w:rPr>
              <w:t>  </w:t>
            </w:r>
          </w:p>
        </w:tc>
        <w:tc>
          <w:tcPr>
            <w:tcW w:w="251" w:type="dxa"/>
            <w:tcBorders/>
            <w:shd w:fill="CCEEFF" w:val="clear"/>
            <w:vAlign w:val="center"/>
          </w:tcPr>
          <w:p>
            <w:pPr>
              <w:pStyle w:val="TableContents"/>
              <w:bidi w:val="0"/>
              <w:spacing w:before="0" w:after="0"/>
              <w:jc w:val="left"/>
              <w:rPr>
                <w:spacing w:val="0"/>
              </w:rPr>
            </w:pPr>
            <w:r>
              <w:rPr>
                <w:spacing w:val="0"/>
              </w:rPr>
              <w:t>$</w:t>
            </w:r>
          </w:p>
        </w:tc>
        <w:tc>
          <w:tcPr>
            <w:tcW w:w="470" w:type="dxa"/>
            <w:tcBorders/>
            <w:shd w:fill="CCEEFF" w:val="clear"/>
            <w:vAlign w:val="center"/>
          </w:tcPr>
          <w:p>
            <w:pPr>
              <w:pStyle w:val="TableContents"/>
              <w:bidi w:val="0"/>
              <w:spacing w:before="0" w:after="0"/>
              <w:jc w:val="right"/>
              <w:rPr>
                <w:spacing w:val="0"/>
              </w:rPr>
            </w:pPr>
            <w:r>
              <w:rPr>
                <w:spacing w:val="0"/>
              </w:rPr>
              <w:t>— </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revenues, data and services</w:t>
            </w:r>
          </w:p>
        </w:tc>
        <w:tc>
          <w:tcPr>
            <w:tcW w:w="120"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rPr>
            </w:pPr>
            <w:r>
              <w:rPr>
                <w:spacing w:val="0"/>
              </w:rPr>
              <w:t> </w:t>
            </w:r>
          </w:p>
        </w:tc>
        <w:tc>
          <w:tcPr>
            <w:tcW w:w="1596" w:type="dxa"/>
            <w:tcBorders/>
            <w:vAlign w:val="center"/>
          </w:tcPr>
          <w:p>
            <w:pPr>
              <w:pStyle w:val="TableContents"/>
              <w:bidi w:val="0"/>
              <w:spacing w:before="0" w:after="0"/>
              <w:jc w:val="right"/>
              <w:rPr>
                <w:spacing w:val="0"/>
              </w:rPr>
            </w:pPr>
            <w:r>
              <w:rPr>
                <w:spacing w:val="0"/>
              </w:rPr>
              <w:t>7,229</w:t>
            </w:r>
          </w:p>
        </w:tc>
        <w:tc>
          <w:tcPr>
            <w:tcW w:w="119" w:type="dxa"/>
            <w:tcBorders/>
            <w:vAlign w:val="center"/>
          </w:tcPr>
          <w:p>
            <w:pPr>
              <w:pStyle w:val="TableContents"/>
              <w:bidi w:val="0"/>
              <w:spacing w:before="0" w:after="0"/>
              <w:jc w:val="left"/>
              <w:rPr>
                <w:spacing w:val="0"/>
              </w:rPr>
            </w:pPr>
            <w:r>
              <w:rPr>
                <w:spacing w:val="0"/>
              </w:rPr>
              <w:t> </w:t>
            </w:r>
          </w:p>
        </w:tc>
        <w:tc>
          <w:tcPr>
            <w:tcW w:w="238"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rPr>
            </w:pPr>
            <w:r>
              <w:rPr>
                <w:spacing w:val="0"/>
              </w:rPr>
              <w:t> </w:t>
            </w:r>
          </w:p>
        </w:tc>
        <w:tc>
          <w:tcPr>
            <w:tcW w:w="521"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rPr>
            </w:pPr>
            <w:r>
              <w:rPr>
                <w:spacing w:val="0"/>
              </w:rPr>
              <w:t> </w:t>
            </w:r>
          </w:p>
        </w:tc>
        <w:tc>
          <w:tcPr>
            <w:tcW w:w="1438" w:type="dxa"/>
            <w:tcBorders/>
            <w:vAlign w:val="center"/>
          </w:tcPr>
          <w:p>
            <w:pPr>
              <w:pStyle w:val="TableContents"/>
              <w:bidi w:val="0"/>
              <w:spacing w:before="0" w:after="0"/>
              <w:jc w:val="right"/>
              <w:rPr>
                <w:spacing w:val="0"/>
              </w:rPr>
            </w:pPr>
            <w:r>
              <w:rPr>
                <w:spacing w:val="0"/>
              </w:rPr>
              <w:t>7,229</w:t>
            </w:r>
          </w:p>
        </w:tc>
        <w:tc>
          <w:tcPr>
            <w:tcW w:w="107" w:type="dxa"/>
            <w:tcBorders/>
            <w:vAlign w:val="center"/>
          </w:tcPr>
          <w:p>
            <w:pPr>
              <w:pStyle w:val="TableContents"/>
              <w:bidi w:val="0"/>
              <w:spacing w:before="0" w:after="0"/>
              <w:jc w:val="left"/>
              <w:rPr>
                <w:spacing w:val="0"/>
              </w:rPr>
            </w:pPr>
            <w:r>
              <w:rPr>
                <w:spacing w:val="0"/>
              </w:rPr>
              <w:t> </w:t>
            </w:r>
          </w:p>
        </w:tc>
        <w:tc>
          <w:tcPr>
            <w:tcW w:w="215"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31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Technology research and development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9" w:type="dxa"/>
            <w:tcBorders/>
            <w:shd w:fill="CCEEFF" w:val="clear"/>
            <w:vAlign w:val="center"/>
          </w:tcPr>
          <w:p>
            <w:pPr>
              <w:pStyle w:val="TableContents"/>
              <w:bidi w:val="0"/>
              <w:spacing w:before="0" w:after="0"/>
              <w:jc w:val="left"/>
              <w:rPr>
                <w:spacing w:val="0"/>
              </w:rPr>
            </w:pPr>
            <w:r>
              <w:rPr>
                <w:spacing w:val="0"/>
              </w:rPr>
              <w:t> </w:t>
            </w:r>
          </w:p>
        </w:tc>
        <w:tc>
          <w:tcPr>
            <w:tcW w:w="1596" w:type="dxa"/>
            <w:tcBorders/>
            <w:shd w:fill="CCEEFF" w:val="clear"/>
            <w:vAlign w:val="center"/>
          </w:tcPr>
          <w:p>
            <w:pPr>
              <w:pStyle w:val="TableContents"/>
              <w:bidi w:val="0"/>
              <w:spacing w:before="0" w:after="0"/>
              <w:jc w:val="right"/>
              <w:rPr>
                <w:spacing w:val="0"/>
              </w:rPr>
            </w:pPr>
            <w:r>
              <w:rPr>
                <w:spacing w:val="0"/>
              </w:rPr>
              <w:t>50,434</w:t>
            </w:r>
          </w:p>
        </w:tc>
        <w:tc>
          <w:tcPr>
            <w:tcW w:w="119" w:type="dxa"/>
            <w:tcBorders/>
            <w:shd w:fill="CCEEFF" w:val="clear"/>
            <w:vAlign w:val="center"/>
          </w:tcPr>
          <w:p>
            <w:pPr>
              <w:pStyle w:val="TableContents"/>
              <w:bidi w:val="0"/>
              <w:spacing w:before="0" w:after="0"/>
              <w:jc w:val="left"/>
              <w:rPr>
                <w:spacing w:val="0"/>
              </w:rPr>
            </w:pPr>
            <w:r>
              <w:rPr>
                <w:spacing w:val="0"/>
              </w:rPr>
              <w:t> </w:t>
            </w:r>
          </w:p>
        </w:tc>
        <w:tc>
          <w:tcPr>
            <w:tcW w:w="238" w:type="dxa"/>
            <w:tcBorders/>
            <w:shd w:fill="CCEEFF" w:val="clear"/>
            <w:vAlign w:val="center"/>
          </w:tcPr>
          <w:p>
            <w:pPr>
              <w:pStyle w:val="TableContents"/>
              <w:bidi w:val="0"/>
              <w:spacing w:before="0" w:after="0"/>
              <w:jc w:val="left"/>
              <w:rPr>
                <w:spacing w:val="0"/>
              </w:rPr>
            </w:pPr>
            <w:r>
              <w:rPr>
                <w:spacing w:val="0"/>
              </w:rPr>
              <w:t>  </w:t>
            </w:r>
          </w:p>
        </w:tc>
        <w:tc>
          <w:tcPr>
            <w:tcW w:w="279" w:type="dxa"/>
            <w:tcBorders/>
            <w:shd w:fill="CCEEFF" w:val="clear"/>
            <w:vAlign w:val="center"/>
          </w:tcPr>
          <w:p>
            <w:pPr>
              <w:pStyle w:val="TableContents"/>
              <w:bidi w:val="0"/>
              <w:spacing w:before="0" w:after="0"/>
              <w:jc w:val="left"/>
              <w:rPr>
                <w:spacing w:val="0"/>
              </w:rPr>
            </w:pPr>
            <w:r>
              <w:rPr>
                <w:spacing w:val="0"/>
              </w:rPr>
              <w:t> </w:t>
            </w:r>
          </w:p>
        </w:tc>
        <w:tc>
          <w:tcPr>
            <w:tcW w:w="521"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1438" w:type="dxa"/>
            <w:tcBorders/>
            <w:shd w:fill="CCEEFF" w:val="clear"/>
            <w:vAlign w:val="center"/>
          </w:tcPr>
          <w:p>
            <w:pPr>
              <w:pStyle w:val="TableContents"/>
              <w:bidi w:val="0"/>
              <w:spacing w:before="0" w:after="0"/>
              <w:jc w:val="right"/>
              <w:rPr>
                <w:spacing w:val="0"/>
              </w:rPr>
            </w:pPr>
            <w:r>
              <w:rPr>
                <w:spacing w:val="0"/>
              </w:rPr>
              <w:t>50,434</w:t>
            </w:r>
          </w:p>
        </w:tc>
        <w:tc>
          <w:tcPr>
            <w:tcW w:w="107" w:type="dxa"/>
            <w:tcBorders/>
            <w:shd w:fill="CCEEFF" w:val="clear"/>
            <w:vAlign w:val="center"/>
          </w:tcPr>
          <w:p>
            <w:pPr>
              <w:pStyle w:val="TableContents"/>
              <w:bidi w:val="0"/>
              <w:spacing w:before="0" w:after="0"/>
              <w:jc w:val="left"/>
              <w:rPr>
                <w:spacing w:val="0"/>
              </w:rPr>
            </w:pPr>
            <w:r>
              <w:rPr>
                <w:spacing w:val="0"/>
              </w:rPr>
              <w:t> </w:t>
            </w:r>
          </w:p>
        </w:tc>
        <w:tc>
          <w:tcPr>
            <w:tcW w:w="215" w:type="dxa"/>
            <w:tcBorders/>
            <w:shd w:fill="CCEEFF" w:val="clear"/>
            <w:vAlign w:val="center"/>
          </w:tcPr>
          <w:p>
            <w:pPr>
              <w:pStyle w:val="TableContents"/>
              <w:bidi w:val="0"/>
              <w:spacing w:before="0" w:after="0"/>
              <w:jc w:val="left"/>
              <w:rPr>
                <w:spacing w:val="0"/>
              </w:rPr>
            </w:pPr>
            <w:r>
              <w:rPr>
                <w:spacing w:val="0"/>
              </w:rPr>
              <w:t>  </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470" w:type="dxa"/>
            <w:tcBorders/>
            <w:shd w:fill="CCEEFF" w:val="clear"/>
            <w:vAlign w:val="center"/>
          </w:tcPr>
          <w:p>
            <w:pPr>
              <w:pStyle w:val="TableContents"/>
              <w:bidi w:val="0"/>
              <w:spacing w:before="0" w:after="0"/>
              <w:jc w:val="right"/>
              <w:rPr>
                <w:spacing w:val="0"/>
              </w:rPr>
            </w:pPr>
            <w:r>
              <w:rPr>
                <w:spacing w:val="0"/>
              </w:rPr>
              <w:t>— </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rPr>
            </w:pPr>
            <w:r>
              <w:rPr>
                <w:spacing w:val="0"/>
              </w:rPr>
              <w:t> </w:t>
            </w:r>
          </w:p>
        </w:tc>
        <w:tc>
          <w:tcPr>
            <w:tcW w:w="1596" w:type="dxa"/>
            <w:tcBorders/>
            <w:vAlign w:val="center"/>
          </w:tcPr>
          <w:p>
            <w:pPr>
              <w:pStyle w:val="TableContents"/>
              <w:bidi w:val="0"/>
              <w:spacing w:before="0" w:after="0"/>
              <w:jc w:val="right"/>
              <w:rPr>
                <w:spacing w:val="0"/>
              </w:rPr>
            </w:pPr>
            <w:r>
              <w:rPr>
                <w:spacing w:val="0"/>
              </w:rPr>
              <w:t>42,233</w:t>
            </w:r>
          </w:p>
        </w:tc>
        <w:tc>
          <w:tcPr>
            <w:tcW w:w="119" w:type="dxa"/>
            <w:tcBorders/>
            <w:vAlign w:val="center"/>
          </w:tcPr>
          <w:p>
            <w:pPr>
              <w:pStyle w:val="TableContents"/>
              <w:bidi w:val="0"/>
              <w:spacing w:before="0" w:after="0"/>
              <w:jc w:val="left"/>
              <w:rPr>
                <w:spacing w:val="0"/>
              </w:rPr>
            </w:pPr>
            <w:r>
              <w:rPr>
                <w:spacing w:val="0"/>
              </w:rPr>
              <w:t> </w:t>
            </w:r>
          </w:p>
        </w:tc>
        <w:tc>
          <w:tcPr>
            <w:tcW w:w="238"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rPr>
            </w:pPr>
            <w:r>
              <w:rPr>
                <w:spacing w:val="0"/>
              </w:rPr>
              <w:t> </w:t>
            </w:r>
          </w:p>
        </w:tc>
        <w:tc>
          <w:tcPr>
            <w:tcW w:w="521"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rPr>
            </w:pPr>
            <w:r>
              <w:rPr>
                <w:spacing w:val="0"/>
              </w:rPr>
              <w:t> </w:t>
            </w:r>
          </w:p>
        </w:tc>
        <w:tc>
          <w:tcPr>
            <w:tcW w:w="1438" w:type="dxa"/>
            <w:tcBorders/>
            <w:vAlign w:val="center"/>
          </w:tcPr>
          <w:p>
            <w:pPr>
              <w:pStyle w:val="TableContents"/>
              <w:bidi w:val="0"/>
              <w:spacing w:before="0" w:after="0"/>
              <w:jc w:val="right"/>
              <w:rPr>
                <w:spacing w:val="0"/>
              </w:rPr>
            </w:pPr>
            <w:r>
              <w:rPr>
                <w:spacing w:val="0"/>
              </w:rPr>
              <w:t>42,233</w:t>
            </w:r>
          </w:p>
        </w:tc>
        <w:tc>
          <w:tcPr>
            <w:tcW w:w="107" w:type="dxa"/>
            <w:tcBorders/>
            <w:vAlign w:val="center"/>
          </w:tcPr>
          <w:p>
            <w:pPr>
              <w:pStyle w:val="TableContents"/>
              <w:bidi w:val="0"/>
              <w:spacing w:before="0" w:after="0"/>
              <w:jc w:val="left"/>
              <w:rPr>
                <w:spacing w:val="0"/>
              </w:rPr>
            </w:pPr>
            <w:r>
              <w:rPr>
                <w:spacing w:val="0"/>
              </w:rPr>
              <w:t> </w:t>
            </w:r>
          </w:p>
        </w:tc>
        <w:tc>
          <w:tcPr>
            <w:tcW w:w="215"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31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9" w:type="dxa"/>
            <w:tcBorders/>
            <w:shd w:fill="CCEEFF" w:val="clear"/>
            <w:vAlign w:val="center"/>
          </w:tcPr>
          <w:p>
            <w:pPr>
              <w:pStyle w:val="TableContents"/>
              <w:bidi w:val="0"/>
              <w:spacing w:before="0" w:after="0"/>
              <w:jc w:val="left"/>
              <w:rPr>
                <w:spacing w:val="0"/>
              </w:rPr>
            </w:pPr>
            <w:r>
              <w:rPr>
                <w:spacing w:val="0"/>
              </w:rPr>
              <w:t> </w:t>
            </w:r>
          </w:p>
        </w:tc>
        <w:tc>
          <w:tcPr>
            <w:tcW w:w="1596" w:type="dxa"/>
            <w:tcBorders/>
            <w:shd w:fill="CCEEFF" w:val="clear"/>
            <w:vAlign w:val="center"/>
          </w:tcPr>
          <w:p>
            <w:pPr>
              <w:pStyle w:val="TableContents"/>
              <w:bidi w:val="0"/>
              <w:spacing w:before="0" w:after="0"/>
              <w:jc w:val="right"/>
              <w:rPr>
                <w:spacing w:val="0"/>
              </w:rPr>
            </w:pPr>
            <w:r>
              <w:rPr>
                <w:spacing w:val="0"/>
              </w:rPr>
              <w:t>377,090</w:t>
            </w:r>
          </w:p>
        </w:tc>
        <w:tc>
          <w:tcPr>
            <w:tcW w:w="119" w:type="dxa"/>
            <w:tcBorders/>
            <w:shd w:fill="CCEEFF" w:val="clear"/>
            <w:vAlign w:val="center"/>
          </w:tcPr>
          <w:p>
            <w:pPr>
              <w:pStyle w:val="TableContents"/>
              <w:bidi w:val="0"/>
              <w:spacing w:before="0" w:after="0"/>
              <w:jc w:val="left"/>
              <w:rPr>
                <w:spacing w:val="0"/>
              </w:rPr>
            </w:pPr>
            <w:r>
              <w:rPr>
                <w:spacing w:val="0"/>
              </w:rPr>
              <w:t> </w:t>
            </w:r>
          </w:p>
        </w:tc>
        <w:tc>
          <w:tcPr>
            <w:tcW w:w="238" w:type="dxa"/>
            <w:tcBorders/>
            <w:shd w:fill="CCEEFF" w:val="clear"/>
            <w:vAlign w:val="center"/>
          </w:tcPr>
          <w:p>
            <w:pPr>
              <w:pStyle w:val="TableContents"/>
              <w:bidi w:val="0"/>
              <w:spacing w:before="0" w:after="0"/>
              <w:jc w:val="left"/>
              <w:rPr>
                <w:spacing w:val="0"/>
              </w:rPr>
            </w:pPr>
            <w:r>
              <w:rPr>
                <w:spacing w:val="0"/>
              </w:rPr>
              <w:t>  </w:t>
            </w:r>
          </w:p>
        </w:tc>
        <w:tc>
          <w:tcPr>
            <w:tcW w:w="279" w:type="dxa"/>
            <w:tcBorders/>
            <w:shd w:fill="CCEEFF" w:val="clear"/>
            <w:vAlign w:val="center"/>
          </w:tcPr>
          <w:p>
            <w:pPr>
              <w:pStyle w:val="TableContents"/>
              <w:bidi w:val="0"/>
              <w:spacing w:before="0" w:after="0"/>
              <w:jc w:val="left"/>
              <w:rPr>
                <w:spacing w:val="0"/>
              </w:rPr>
            </w:pPr>
            <w:r>
              <w:rPr>
                <w:spacing w:val="0"/>
              </w:rPr>
              <w:t> </w:t>
            </w:r>
          </w:p>
        </w:tc>
        <w:tc>
          <w:tcPr>
            <w:tcW w:w="521"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1438" w:type="dxa"/>
            <w:tcBorders/>
            <w:shd w:fill="CCEEFF" w:val="clear"/>
            <w:vAlign w:val="center"/>
          </w:tcPr>
          <w:p>
            <w:pPr>
              <w:pStyle w:val="TableContents"/>
              <w:bidi w:val="0"/>
              <w:spacing w:before="0" w:after="0"/>
              <w:jc w:val="right"/>
              <w:rPr>
                <w:spacing w:val="0"/>
              </w:rPr>
            </w:pPr>
            <w:r>
              <w:rPr>
                <w:spacing w:val="0"/>
              </w:rPr>
              <w:t>377,090</w:t>
            </w:r>
          </w:p>
        </w:tc>
        <w:tc>
          <w:tcPr>
            <w:tcW w:w="107" w:type="dxa"/>
            <w:tcBorders/>
            <w:shd w:fill="CCEEFF" w:val="clear"/>
            <w:vAlign w:val="center"/>
          </w:tcPr>
          <w:p>
            <w:pPr>
              <w:pStyle w:val="TableContents"/>
              <w:bidi w:val="0"/>
              <w:spacing w:before="0" w:after="0"/>
              <w:jc w:val="left"/>
              <w:rPr>
                <w:spacing w:val="0"/>
              </w:rPr>
            </w:pPr>
            <w:r>
              <w:rPr>
                <w:spacing w:val="0"/>
              </w:rPr>
              <w:t> </w:t>
            </w:r>
          </w:p>
        </w:tc>
        <w:tc>
          <w:tcPr>
            <w:tcW w:w="215" w:type="dxa"/>
            <w:tcBorders/>
            <w:shd w:fill="CCEEFF" w:val="clear"/>
            <w:vAlign w:val="center"/>
          </w:tcPr>
          <w:p>
            <w:pPr>
              <w:pStyle w:val="TableContents"/>
              <w:bidi w:val="0"/>
              <w:spacing w:before="0" w:after="0"/>
              <w:jc w:val="left"/>
              <w:rPr>
                <w:spacing w:val="0"/>
              </w:rPr>
            </w:pPr>
            <w:r>
              <w:rPr>
                <w:spacing w:val="0"/>
              </w:rPr>
              <w:t>  </w:t>
            </w:r>
          </w:p>
        </w:tc>
        <w:tc>
          <w:tcPr>
            <w:tcW w:w="251" w:type="dxa"/>
            <w:tcBorders/>
            <w:shd w:fill="CCEEFF" w:val="clear"/>
            <w:vAlign w:val="center"/>
          </w:tcPr>
          <w:p>
            <w:pPr>
              <w:pStyle w:val="TableContents"/>
              <w:bidi w:val="0"/>
              <w:spacing w:before="0" w:after="0"/>
              <w:jc w:val="left"/>
              <w:rPr>
                <w:spacing w:val="0"/>
              </w:rPr>
            </w:pPr>
            <w:r>
              <w:rPr>
                <w:spacing w:val="0"/>
              </w:rPr>
              <w:t> </w:t>
            </w:r>
          </w:p>
        </w:tc>
        <w:tc>
          <w:tcPr>
            <w:tcW w:w="470" w:type="dxa"/>
            <w:tcBorders/>
            <w:shd w:fill="CCEEFF" w:val="clear"/>
            <w:vAlign w:val="center"/>
          </w:tcPr>
          <w:p>
            <w:pPr>
              <w:pStyle w:val="TableContents"/>
              <w:bidi w:val="0"/>
              <w:spacing w:before="0" w:after="0"/>
              <w:jc w:val="right"/>
              <w:rPr>
                <w:spacing w:val="0"/>
              </w:rPr>
            </w:pPr>
            <w:r>
              <w:rPr>
                <w:spacing w:val="0"/>
              </w:rPr>
              <w:t>— </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 w:type="dxa"/>
            <w:tcBorders/>
            <w:vAlign w:val="center"/>
          </w:tcPr>
          <w:p>
            <w:pPr>
              <w:pStyle w:val="TableContents"/>
              <w:bidi w:val="0"/>
              <w:spacing w:before="0" w:after="0"/>
              <w:jc w:val="left"/>
              <w:rPr>
                <w:spacing w:val="0"/>
              </w:rPr>
            </w:pPr>
            <w:r>
              <w:rPr>
                <w:spacing w:val="0"/>
              </w:rPr>
              <w:t> </w:t>
            </w:r>
          </w:p>
        </w:tc>
        <w:tc>
          <w:tcPr>
            <w:tcW w:w="238"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 w:type="dxa"/>
            <w:tcBorders/>
            <w:vAlign w:val="center"/>
          </w:tcPr>
          <w:p>
            <w:pPr>
              <w:pStyle w:val="TableContents"/>
              <w:bidi w:val="0"/>
              <w:spacing w:before="0" w:after="0"/>
              <w:jc w:val="left"/>
              <w:rPr>
                <w:spacing w:val="0"/>
              </w:rPr>
            </w:pPr>
            <w:r>
              <w:rPr>
                <w:spacing w:val="0"/>
              </w:rPr>
              <w:t> </w:t>
            </w:r>
          </w:p>
        </w:tc>
        <w:tc>
          <w:tcPr>
            <w:tcW w:w="215"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3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stock-based compensation</w:t>
            </w:r>
          </w:p>
        </w:tc>
        <w:tc>
          <w:tcPr>
            <w:tcW w:w="120"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rPr>
            </w:pPr>
            <w:r>
              <w:rPr>
                <w:spacing w:val="0"/>
              </w:rPr>
              <w:t>$</w:t>
            </w:r>
          </w:p>
        </w:tc>
        <w:tc>
          <w:tcPr>
            <w:tcW w:w="1596" w:type="dxa"/>
            <w:tcBorders/>
            <w:vAlign w:val="center"/>
          </w:tcPr>
          <w:p>
            <w:pPr>
              <w:pStyle w:val="TableContents"/>
              <w:bidi w:val="0"/>
              <w:spacing w:before="0" w:after="0"/>
              <w:jc w:val="right"/>
              <w:rPr>
                <w:spacing w:val="0"/>
              </w:rPr>
            </w:pPr>
            <w:r>
              <w:rPr>
                <w:spacing w:val="0"/>
              </w:rPr>
              <w:t>488,313</w:t>
            </w:r>
          </w:p>
        </w:tc>
        <w:tc>
          <w:tcPr>
            <w:tcW w:w="119" w:type="dxa"/>
            <w:tcBorders/>
            <w:vAlign w:val="center"/>
          </w:tcPr>
          <w:p>
            <w:pPr>
              <w:pStyle w:val="TableContents"/>
              <w:bidi w:val="0"/>
              <w:spacing w:before="0" w:after="0"/>
              <w:jc w:val="left"/>
              <w:rPr>
                <w:spacing w:val="0"/>
              </w:rPr>
            </w:pPr>
            <w:r>
              <w:rPr>
                <w:spacing w:val="0"/>
              </w:rPr>
              <w:t> </w:t>
            </w:r>
          </w:p>
        </w:tc>
        <w:tc>
          <w:tcPr>
            <w:tcW w:w="238"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rPr>
            </w:pPr>
            <w:r>
              <w:rPr>
                <w:spacing w:val="0"/>
              </w:rPr>
              <w:t>$</w:t>
            </w:r>
          </w:p>
        </w:tc>
        <w:tc>
          <w:tcPr>
            <w:tcW w:w="521"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rPr>
            </w:pPr>
            <w:r>
              <w:rPr>
                <w:spacing w:val="0"/>
              </w:rPr>
              <w:t>$</w:t>
            </w:r>
          </w:p>
        </w:tc>
        <w:tc>
          <w:tcPr>
            <w:tcW w:w="1438" w:type="dxa"/>
            <w:tcBorders/>
            <w:vAlign w:val="center"/>
          </w:tcPr>
          <w:p>
            <w:pPr>
              <w:pStyle w:val="TableContents"/>
              <w:bidi w:val="0"/>
              <w:spacing w:before="0" w:after="0"/>
              <w:jc w:val="right"/>
              <w:rPr>
                <w:spacing w:val="0"/>
              </w:rPr>
            </w:pPr>
            <w:r>
              <w:rPr>
                <w:spacing w:val="0"/>
              </w:rPr>
              <w:t>488,313</w:t>
            </w:r>
          </w:p>
        </w:tc>
        <w:tc>
          <w:tcPr>
            <w:tcW w:w="107" w:type="dxa"/>
            <w:tcBorders/>
            <w:vAlign w:val="center"/>
          </w:tcPr>
          <w:p>
            <w:pPr>
              <w:pStyle w:val="TableContents"/>
              <w:bidi w:val="0"/>
              <w:spacing w:before="0" w:after="0"/>
              <w:jc w:val="left"/>
              <w:rPr>
                <w:spacing w:val="0"/>
              </w:rPr>
            </w:pPr>
            <w:r>
              <w:rPr>
                <w:spacing w:val="0"/>
              </w:rPr>
              <w:t> </w:t>
            </w:r>
          </w:p>
        </w:tc>
        <w:tc>
          <w:tcPr>
            <w:tcW w:w="215"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rPr>
            </w:pPr>
            <w:r>
              <w:rPr>
                <w:spacing w:val="0"/>
              </w:rPr>
              <w:t>$</w:t>
            </w:r>
          </w:p>
        </w:tc>
        <w:tc>
          <w:tcPr>
            <w:tcW w:w="470" w:type="dxa"/>
            <w:tcBorders/>
            <w:vAlign w:val="center"/>
          </w:tcPr>
          <w:p>
            <w:pPr>
              <w:pStyle w:val="TableContents"/>
              <w:bidi w:val="0"/>
              <w:spacing w:before="0" w:after="0"/>
              <w:jc w:val="righ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 w:type="dxa"/>
            <w:tcBorders/>
            <w:vAlign w:val="center"/>
          </w:tcPr>
          <w:p>
            <w:pPr>
              <w:pStyle w:val="TableContents"/>
              <w:bidi w:val="0"/>
              <w:spacing w:before="0" w:after="0"/>
              <w:jc w:val="left"/>
              <w:rPr>
                <w:spacing w:val="0"/>
              </w:rPr>
            </w:pPr>
            <w:r>
              <w:rPr>
                <w:spacing w:val="0"/>
              </w:rPr>
              <w:t> </w:t>
            </w:r>
          </w:p>
        </w:tc>
        <w:tc>
          <w:tcPr>
            <w:tcW w:w="238" w:type="dxa"/>
            <w:tcBorders/>
            <w:vAlign w:val="center"/>
          </w:tcPr>
          <w:p>
            <w:pPr>
              <w:pStyle w:val="TableContents"/>
              <w:bidi w:val="0"/>
              <w:spacing w:before="0" w:after="0"/>
              <w:jc w:val="left"/>
              <w:rPr>
                <w:spacing w:val="0"/>
              </w:rPr>
            </w:pPr>
            <w:r>
              <w:rPr>
                <w:spacing w:val="0"/>
              </w:rPr>
              <w:t>  </w:t>
            </w:r>
          </w:p>
        </w:tc>
        <w:tc>
          <w:tcPr>
            <w:tcW w:w="2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3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 w:type="dxa"/>
            <w:tcBorders/>
            <w:vAlign w:val="center"/>
          </w:tcPr>
          <w:p>
            <w:pPr>
              <w:pStyle w:val="TableContents"/>
              <w:bidi w:val="0"/>
              <w:spacing w:before="0" w:after="0"/>
              <w:jc w:val="left"/>
              <w:rPr>
                <w:spacing w:val="0"/>
              </w:rPr>
            </w:pPr>
            <w:r>
              <w:rPr>
                <w:spacing w:val="0"/>
              </w:rPr>
              <w:t> </w:t>
            </w:r>
          </w:p>
        </w:tc>
        <w:tc>
          <w:tcPr>
            <w:tcW w:w="215"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Total unrecognized stock-based compensation expense related to RSUs was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125.3</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as</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of June 30, 2024 and is expected to be recognized over a weighted-average period of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1.4</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years. No further grants will be made under the 2015 Plan. </w:t>
      </w:r>
    </w:p>
    <w:p>
      <w:pPr>
        <w:pStyle w:val="TextBody"/>
        <w:bidi w:val="0"/>
        <w:spacing w:before="360" w:after="0"/>
        <w:jc w:val="left"/>
        <w:rPr>
          <w:rFonts w:ascii="Times New Roman" w:hAnsi="Times New Roman"/>
          <w:sz w:val="20"/>
          <w:shd w:fill="FFFFFF" w:val="clear"/>
        </w:rPr>
      </w:pPr>
      <w:r>
        <w:rPr>
          <w:rFonts w:ascii="Times New Roman" w:hAnsi="Times New Roman"/>
          <w:sz w:val="20"/>
          <w:shd w:fill="FFFFFF" w:val="clear"/>
        </w:rPr>
        <w:t xml:space="preserve">2024 Equity Incentive Plan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(“NSOs”), stock appreciation rights, RSUs, restricted stock unit awards (“RSAs”), performance-based awards (“PSUs”) and other awards. The maximum number of shares of Class A common stock that may be issued under the 2024 Plan is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7,430,000</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shares of the Company’s Class A common stock and will automatically increase on January 1 of each year, beginning on January 1, 2025 and continuing through and including</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January 1, 2034</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an amount equal to either (i) a number of shares of the Company’s Class A common stock (the “Evergreen Increase”), such that the sum of (x) the remaining number of shares available under the 2024 Plan and (y) the Evergreen Increase is equal to</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5</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of the total number of shares of common stock (both Class A and Class B) outstanding on December 31 of the preceding calendar year, or (ii) a lesser number of shares determined by the Company’s board of directors prior to the applicable January 1. The maximum number of shares that may be issued upon the exercise of ISOs under the 2024 Plan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22,290,000</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shares.</w:t>
      </w:r>
    </w:p>
    <w:p>
      <w:pPr>
        <w:pStyle w:val="TextBody"/>
        <w:bidi w:val="0"/>
        <w:spacing w:before="0" w:after="0"/>
        <w:jc w:val="left"/>
        <w:rPr>
          <w:shd w:fill="FFFFFF" w:val="clear"/>
        </w:rPr>
      </w:pPr>
      <w:r>
        <w:rPr>
          <w:shd w:fill="FFFFFF" w:val="clear"/>
        </w:rPr>
        <w:t> </w:t>
      </w:r>
    </w:p>
    <w:tbl>
      <w:tblPr>
        <w:tblW w:w="955" w:type="dxa"/>
        <w:jc w:val="left"/>
        <w:tblInd w:w="0" w:type="dxa"/>
        <w:tblLayout w:type="fixed"/>
        <w:tblCellMar>
          <w:top w:w="0" w:type="dxa"/>
          <w:left w:w="0" w:type="dxa"/>
          <w:bottom w:w="0" w:type="dxa"/>
          <w:right w:w="0" w:type="dxa"/>
        </w:tblCellMar>
      </w:tblPr>
      <w:tblGrid>
        <w:gridCol w:w="335"/>
        <w:gridCol w:w="620"/>
      </w:tblGrid>
      <w:tr>
        <w:trPr/>
        <w:tc>
          <w:tcPr>
            <w:tcW w:w="335" w:type="dxa"/>
            <w:tcBorders/>
            <w:vAlign w:val="center"/>
          </w:tcPr>
          <w:p>
            <w:pPr>
              <w:pStyle w:val="TableContents"/>
              <w:bidi w:val="0"/>
              <w:spacing w:before="0" w:after="0"/>
              <w:jc w:val="left"/>
              <w:rPr>
                <w:b/>
                <w:spacing w:val="0"/>
              </w:rPr>
            </w:pPr>
            <w:r>
              <w:rPr>
                <w:b/>
                <w:spacing w:val="0"/>
              </w:rPr>
              <w:t>11.</w:t>
            </w:r>
          </w:p>
        </w:tc>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Term Loan Facility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22, 2022, the Company entered into a Credit Agreement with Ares Capital Corporation (“Ares”) for a senior secured loan (the “Term Loan Facility”) in the amount of $175 million, less original issue discount of $4.4 million and deferred financing fees of $2.6 million. On April 25, 2023, the Company entered into an amendment to the Credit Agreement, which was accounted for as a debt modification. The amendment to the Credit Agreement increased the Term Loan Facility by an aggregate principal amount of $50 million, less original issue discount of $1.3 million and increased the interest rate on the Term Loan Facility by 25 basis points. On October 11, 2023, the Company signed a second amendment to its Credit Agreement with Ares which provided an additional $35.0 million in term debt. The Company received $34.1 million in cash, which is the aggregate principal amount of $35.0 million less original issue discount of $0.9 million. Terms of the second amendment are consistent with existing terms of the Credit Agreement. The proceeds of the Term Loan Facility will be used for working capital and general corporate purposes, to finance growth initiatives, to pay for operating expenses, and to pay the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related transaction costs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 The Term Loan Facility is due at maturity on September 22, 2027 and is subject to quarterly interest payments for Base Rate Loans and at the end of the applicable interest rate period for Secured Overnight Financing Rate (“SOFR”) Loans.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2</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one-month</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 </w:t>
      </w:r>
    </w:p>
    <w:p>
      <w:pPr>
        <w:pStyle w:val="TextBody"/>
        <w:bidi w:val="0"/>
        <w:spacing w:before="0" w:after="0"/>
        <w:ind w:left="0" w:right="0" w:hanging="0"/>
        <w:jc w:val="left"/>
        <w:rPr>
          <w:shd w:fill="FFFFFF" w:val="clear"/>
        </w:rPr>
      </w:pPr>
      <w:r>
        <w:rPr>
          <w:shd w:fill="FFFFFF" w:val="clear"/>
        </w:rPr>
        <w:t> </w:t>
      </w:r>
    </w:p>
    <w:tbl>
      <w:tblPr>
        <w:tblW w:w="8275" w:type="dxa"/>
        <w:jc w:val="left"/>
        <w:tblInd w:w="0" w:type="dxa"/>
        <w:tblLayout w:type="fixed"/>
        <w:tblCellMar>
          <w:top w:w="0" w:type="dxa"/>
          <w:left w:w="0" w:type="dxa"/>
          <w:bottom w:w="0" w:type="dxa"/>
          <w:right w:w="0" w:type="dxa"/>
        </w:tblCellMar>
      </w:tblPr>
      <w:tblGrid>
        <w:gridCol w:w="75"/>
        <w:gridCol w:w="230"/>
        <w:gridCol w:w="79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sum of the Base Rate plus an Applicable Rate of 4% per annum plus 3.25% per annum paid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in-kind</w:t>
            </w:r>
          </w:p>
          <w:p>
            <w:pPr>
              <w:pStyle w:val="TableContents"/>
              <w:bidi w:val="0"/>
              <w:spacing w:before="0" w:after="0"/>
              <w:jc w:val="left"/>
              <w:rPr>
                <w:rFonts w:ascii="Times New Roman" w:hAnsi="Times New Roman"/>
                <w:sz w:val="20"/>
              </w:rPr>
            </w:pPr>
            <w:r>
              <w:rPr>
                <w:rFonts w:ascii="Times New Roman" w:hAnsi="Times New Roman"/>
                <w:sz w:val="20"/>
              </w:rPr>
              <w:t xml:space="preserve">by adding the accrued interest to the outstanding principal balance on each interest payment date </w:t>
            </w:r>
          </w:p>
        </w:tc>
      </w:tr>
    </w:tbl>
    <w:p>
      <w:pPr>
        <w:pStyle w:val="TextBody"/>
        <w:bidi w:val="0"/>
        <w:spacing w:before="0" w:after="0"/>
        <w:ind w:left="0" w:right="0" w:hanging="0"/>
        <w:jc w:val="left"/>
        <w:rPr>
          <w:shd w:fill="FFFFFF" w:val="clear"/>
        </w:rPr>
      </w:pPr>
      <w:r>
        <w:rPr>
          <w:shd w:fill="FFFFFF" w:val="clear"/>
        </w:rPr>
        <w:t> </w:t>
      </w:r>
    </w:p>
    <w:tbl>
      <w:tblPr>
        <w:tblW w:w="5230" w:type="dxa"/>
        <w:jc w:val="left"/>
        <w:tblInd w:w="0" w:type="dxa"/>
        <w:tblLayout w:type="fixed"/>
        <w:tblCellMar>
          <w:top w:w="0" w:type="dxa"/>
          <w:left w:w="0" w:type="dxa"/>
          <w:bottom w:w="0" w:type="dxa"/>
          <w:right w:w="0" w:type="dxa"/>
        </w:tblCellMar>
      </w:tblPr>
      <w:tblGrid>
        <w:gridCol w:w="75"/>
        <w:gridCol w:w="290"/>
        <w:gridCol w:w="48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Base Rate plus an Applicable Rate of 6.25% per annum </w:t>
            </w:r>
          </w:p>
        </w:tc>
      </w:tr>
    </w:tbl>
    <w:p>
      <w:pPr>
        <w:pStyle w:val="TextBody"/>
        <w:bidi w:val="0"/>
        <w:spacing w:before="0" w:after="0"/>
        <w:ind w:left="0" w:right="0" w:hanging="0"/>
        <w:jc w:val="left"/>
        <w:rPr>
          <w:shd w:fill="FFFFFF" w:val="clear"/>
        </w:rPr>
      </w:pPr>
      <w:r>
        <w:rPr>
          <w:shd w:fill="FFFFFF" w:val="clear"/>
        </w:rPr>
        <w:t> </w:t>
      </w:r>
    </w:p>
    <w:tbl>
      <w:tblPr>
        <w:tblW w:w="10030" w:type="dxa"/>
        <w:jc w:val="left"/>
        <w:tblInd w:w="0" w:type="dxa"/>
        <w:tblLayout w:type="fixed"/>
        <w:tblCellMar>
          <w:top w:w="0" w:type="dxa"/>
          <w:left w:w="0" w:type="dxa"/>
          <w:bottom w:w="0" w:type="dxa"/>
          <w:right w:w="0" w:type="dxa"/>
        </w:tblCellMar>
      </w:tblPr>
      <w:tblGrid>
        <w:gridCol w:w="75"/>
        <w:gridCol w:w="350"/>
        <w:gridCol w:w="960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sum of the Term SOFR for the interest period plus an Applicable rate of 5% per annum plus 3.25% per annum paid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in-kind</w:t>
            </w:r>
          </w:p>
          <w:p>
            <w:pPr>
              <w:pStyle w:val="TableContents"/>
              <w:bidi w:val="0"/>
              <w:spacing w:before="0" w:after="0"/>
              <w:jc w:val="left"/>
              <w:rPr>
                <w:rFonts w:ascii="Times New Roman" w:hAnsi="Times New Roman"/>
                <w:sz w:val="20"/>
              </w:rPr>
            </w:pPr>
            <w:r>
              <w:rPr>
                <w:rFonts w:ascii="Times New Roman" w:hAnsi="Times New Roman"/>
                <w:sz w:val="20"/>
              </w:rPr>
              <w:t xml:space="preserve">by adding the accrued interest to the outstanding principal balance on each interest payment date </w:t>
            </w:r>
          </w:p>
        </w:tc>
      </w:tr>
    </w:tbl>
    <w:p>
      <w:pPr>
        <w:pStyle w:val="TextBody"/>
        <w:bidi w:val="0"/>
        <w:spacing w:before="0" w:after="0"/>
        <w:ind w:left="0" w:right="0" w:hanging="0"/>
        <w:jc w:val="left"/>
        <w:rPr>
          <w:shd w:fill="FFFFFF" w:val="clear"/>
        </w:rPr>
      </w:pPr>
      <w:r>
        <w:rPr>
          <w:shd w:fill="FFFFFF" w:val="clear"/>
        </w:rPr>
        <w:t> </w:t>
      </w:r>
    </w:p>
    <w:tbl>
      <w:tblPr>
        <w:tblW w:w="7975" w:type="dxa"/>
        <w:jc w:val="left"/>
        <w:tblInd w:w="0" w:type="dxa"/>
        <w:tblLayout w:type="fixed"/>
        <w:tblCellMar>
          <w:top w:w="0" w:type="dxa"/>
          <w:left w:w="0" w:type="dxa"/>
          <w:bottom w:w="0" w:type="dxa"/>
          <w:right w:w="0" w:type="dxa"/>
        </w:tblCellMar>
      </w:tblPr>
      <w:tblGrid>
        <w:gridCol w:w="75"/>
        <w:gridCol w:w="350"/>
        <w:gridCol w:w="755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 SOFR for the interest period in effect plus the Applicable Rate of 7.25% per annum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addition, the Term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Loan</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Facility contains customary representations and warranties, financial and other covenants, and events of default, including but not limited to, limitations on earnout, milestone, or deferred purchase obligations, dividends on preferred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the Company is required to generate consolidated revenues of $459.1 million and $594.1 million, respectively. The Company was in compliance with all covenants of the Credit Agreement as of June 30, 2024.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All obligations under the Term Loan Facility are guaranteed by the Company and secured by substantially all of the assets of the Company.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original issue discount of $6.5 million and deferred financing fees of $2.6 million are amortized over the term of the underlying debt and unamortized amounts have been offset against long-term debt in the consolidated balance sheets. As of June 30, 2024 and December 31, 2023, the unamortized original issue discount was $4.5 million and $5.1 million, respectively, and the unamortized deferred financing fees were $1.6 million and $1.9 million,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Through June 30, 2024, the Company has not made any principal repayments on the Term Loan Facility. Through June 30, 2024, the Company made $13.9 million in interest payments. As of June 30, 2024, the interest rate on the Term Loan Facility was 10.3%. As of June 30, 2023, the interest rate on the $175 million originally borrowed under Term Loan Facility was 9.89% and 10.07% on the $50 million borrowed under the amended Credit Agreement.</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Company recognized interest expense of</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$9.2 million and $18.3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million related to the Term Loan Facility during the three and six months ended June 30, 2024, respectively. The Company recognized interest expense of</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$6.9 million and $12.0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million related to the Term Loan Facility during the three and six months ended June 30, 2023, respectively.</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2</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Convertible Promissory Note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June 22, 2020, in connection with entry into an agreement for use of Google LLC’s, or Google’s, Google Cloud Platform, the Company issued Google a convertible promissory note, or the Note, in the original principal amount of $330.0 million. On November 19, 2020, in connection with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G-2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convertible preferred stock financing, the Company issued Google $80 million of</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G-2</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preferred stock, at a 10% discount to the purchase price per share in such financing, in partial satisfaction of the outstanding principal amount under the Note, and the Company amended and restated the terms of the Note.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condensed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c</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onsolidated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tatements of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o</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perations and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c</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omprehensive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l</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If the Amended Note is outstanding at the maturity date, Google may, at its option, convert the then outstanding principal amount and interest accrued under the Amended Note into a number of shares of the Company’s Class A common stock equal to the quotient obtained by dividing (1) the Outstanding Amount on the maturity date, by (2) the average of the last trading price on each trading day during the</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twenty</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day period ending immediately prior to the maturity date.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$3.7 million and $3.8 million during the three months ended June 30, 2024 and 2023, respectively. The company recognized interest expense of $7.3 million and $7.6 million during the six months ended June 30, 2024 and 2023, respectively. </w:t>
      </w:r>
    </w:p>
    <w:p>
      <w:pPr>
        <w:pStyle w:val="TextBody"/>
        <w:bidi w:val="0"/>
        <w:spacing w:before="0" w:after="0"/>
        <w:jc w:val="left"/>
        <w:rPr>
          <w:shd w:fill="FFFFFF" w:val="clear"/>
        </w:rPr>
      </w:pPr>
      <w:r>
        <w:rPr>
          <w:shd w:fill="FFFFFF" w:val="clear"/>
        </w:rPr>
        <w:t> </w:t>
      </w:r>
    </w:p>
    <w:tbl>
      <w:tblPr>
        <w:tblW w:w="7075" w:type="dxa"/>
        <w:jc w:val="left"/>
        <w:tblInd w:w="0" w:type="dxa"/>
        <w:tblLayout w:type="fixed"/>
        <w:tblCellMar>
          <w:top w:w="0" w:type="dxa"/>
          <w:left w:w="0" w:type="dxa"/>
          <w:bottom w:w="0" w:type="dxa"/>
          <w:right w:w="0" w:type="dxa"/>
        </w:tblCellMar>
      </w:tblPr>
      <w:tblGrid>
        <w:gridCol w:w="335"/>
        <w:gridCol w:w="6740"/>
      </w:tblGrid>
      <w:tr>
        <w:trPr/>
        <w:tc>
          <w:tcPr>
            <w:tcW w:w="335" w:type="dxa"/>
            <w:tcBorders/>
            <w:vAlign w:val="center"/>
          </w:tcPr>
          <w:p>
            <w:pPr>
              <w:pStyle w:val="TableContents"/>
              <w:bidi w:val="0"/>
              <w:spacing w:before="0" w:after="0"/>
              <w:jc w:val="left"/>
              <w:rPr>
                <w:b/>
                <w:spacing w:val="0"/>
              </w:rPr>
            </w:pPr>
            <w:r>
              <w:rPr>
                <w:b/>
                <w:spacing w:val="0"/>
              </w:rPr>
              <w:t>12.</w:t>
            </w:r>
          </w:p>
        </w:tc>
        <w:tc>
          <w:tcPr>
            <w:tcW w:w="6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ATTRIBUTABLE TO COMMON STOCKHOLDERS </w:t>
            </w:r>
          </w:p>
        </w:tc>
      </w:tr>
    </w:tbl>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Because the Company incurred net losses each period, the basic and diluted calculations are the same. The Company used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if-converted</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method to calculate diluted EPS. As the Company had net losses in the three and six months ended June 30, 2024 and 2023, all potentially dilutive common stock equivalents have been excluded from the calculation of diluted net loss per share attributable to common stockholders as their effect is anti-dilutive.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24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following table presents the calculation for basic and diluted net loss per share (in thousands, except share and per share data):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3815"/>
        <w:gridCol w:w="120"/>
        <w:gridCol w:w="208"/>
        <w:gridCol w:w="1309"/>
        <w:gridCol w:w="141"/>
        <w:gridCol w:w="89"/>
        <w:gridCol w:w="208"/>
        <w:gridCol w:w="1132"/>
        <w:gridCol w:w="155"/>
        <w:gridCol w:w="60"/>
        <w:gridCol w:w="178"/>
        <w:gridCol w:w="1118"/>
        <w:gridCol w:w="120"/>
        <w:gridCol w:w="75"/>
        <w:gridCol w:w="178"/>
        <w:gridCol w:w="1120"/>
        <w:gridCol w:w="179"/>
      </w:tblGrid>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87" w:type="dxa"/>
            <w:gridSpan w:val="6"/>
            <w:tcBorders/>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789" w:type="dxa"/>
            <w:gridSpan w:val="6"/>
            <w:tcBorders/>
            <w:vAlign w:val="center"/>
          </w:tcPr>
          <w:p>
            <w:pPr>
              <w:pStyle w:val="TableContents"/>
              <w:bidi w:val="0"/>
              <w:spacing w:before="0" w:after="0"/>
              <w:jc w:val="center"/>
              <w:rPr>
                <w:b/>
                <w:spacing w:val="0"/>
              </w:rPr>
            </w:pPr>
            <w:r>
              <w:rPr>
                <w:b/>
                <w:spacing w:val="0"/>
              </w:rPr>
              <w:t>Six Months Ended June 30,</w:t>
            </w:r>
          </w:p>
        </w:tc>
        <w:tc>
          <w:tcPr>
            <w:tcW w:w="179" w:type="dxa"/>
            <w:tcBorders/>
            <w:vAlign w:val="center"/>
          </w:tcPr>
          <w:p>
            <w:pPr>
              <w:pStyle w:val="TableContents"/>
              <w:bidi w:val="0"/>
              <w:spacing w:before="0" w:after="0"/>
              <w:jc w:val="left"/>
              <w:rPr>
                <w:spacing w:val="0"/>
              </w:rPr>
            </w:pPr>
            <w:r>
              <w:rPr>
                <w:spacing w:val="0"/>
              </w:rPr>
              <w:t> </w:t>
            </w:r>
          </w:p>
        </w:tc>
      </w:tr>
      <w:tr>
        <w:trPr/>
        <w:tc>
          <w:tcPr>
            <w:tcW w:w="381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17" w:type="dxa"/>
            <w:gridSpan w:val="2"/>
            <w:tcBorders/>
            <w:vAlign w:val="center"/>
          </w:tcPr>
          <w:p>
            <w:pPr>
              <w:pStyle w:val="TableContents"/>
              <w:bidi w:val="0"/>
              <w:spacing w:before="0" w:after="0"/>
              <w:jc w:val="center"/>
              <w:rPr>
                <w:b/>
                <w:spacing w:val="0"/>
              </w:rPr>
            </w:pPr>
            <w:r>
              <w:rPr>
                <w:b/>
                <w:spacing w:val="0"/>
              </w:rPr>
              <w:t>2024</w:t>
            </w:r>
          </w:p>
        </w:tc>
        <w:tc>
          <w:tcPr>
            <w:tcW w:w="141" w:type="dxa"/>
            <w:tcBorders/>
            <w:vAlign w:val="center"/>
          </w:tcPr>
          <w:p>
            <w:pPr>
              <w:pStyle w:val="TableContents"/>
              <w:bidi w:val="0"/>
              <w:spacing w:before="0" w:after="0"/>
              <w:jc w:val="left"/>
              <w:rPr>
                <w:spacing w:val="0"/>
              </w:rPr>
            </w:pPr>
            <w:r>
              <w:rPr>
                <w:spacing w:val="0"/>
              </w:rPr>
              <w:t> </w:t>
            </w:r>
          </w:p>
        </w:tc>
        <w:tc>
          <w:tcPr>
            <w:tcW w:w="89" w:type="dxa"/>
            <w:tcBorders/>
            <w:vAlign w:val="center"/>
          </w:tcPr>
          <w:p>
            <w:pPr>
              <w:pStyle w:val="TableContents"/>
              <w:bidi w:val="0"/>
              <w:spacing w:before="0" w:after="0"/>
              <w:jc w:val="left"/>
              <w:rPr>
                <w:spacing w:val="0"/>
              </w:rPr>
            </w:pPr>
            <w:r>
              <w:rPr>
                <w:spacing w:val="0"/>
              </w:rPr>
              <w:t> </w:t>
            </w:r>
          </w:p>
        </w:tc>
        <w:tc>
          <w:tcPr>
            <w:tcW w:w="1340"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6" w:type="dxa"/>
            <w:gridSpan w:val="2"/>
            <w:tcBorders/>
            <w:vAlign w:val="center"/>
          </w:tcPr>
          <w:p>
            <w:pPr>
              <w:pStyle w:val="TableContents"/>
              <w:bidi w:val="0"/>
              <w:spacing w:before="0" w:after="0"/>
              <w:jc w:val="center"/>
              <w:rPr>
                <w:b/>
                <w:spacing w:val="0"/>
              </w:rPr>
            </w:pPr>
            <w:r>
              <w:rPr>
                <w:b/>
                <w:spacing w:val="0"/>
              </w:rPr>
              <w:t>2024</w:t>
            </w:r>
          </w:p>
        </w:tc>
        <w:tc>
          <w:tcPr>
            <w:tcW w:w="120"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c>
          <w:tcPr>
            <w:tcW w:w="1298" w:type="dxa"/>
            <w:gridSpan w:val="2"/>
            <w:tcBorders/>
            <w:vAlign w:val="center"/>
          </w:tcPr>
          <w:p>
            <w:pPr>
              <w:pStyle w:val="TableContents"/>
              <w:bidi w:val="0"/>
              <w:spacing w:before="0" w:after="0"/>
              <w:jc w:val="center"/>
              <w:rPr>
                <w:b/>
                <w:spacing w:val="0"/>
              </w:rPr>
            </w:pPr>
            <w:r>
              <w:rPr>
                <w:b/>
                <w:spacing w:val="0"/>
              </w:rPr>
              <w:t>2023</w:t>
            </w:r>
          </w:p>
        </w:tc>
        <w:tc>
          <w:tcPr>
            <w:tcW w:w="179" w:type="dxa"/>
            <w:tcBorders/>
            <w:vAlign w:val="center"/>
          </w:tcPr>
          <w:p>
            <w:pPr>
              <w:pStyle w:val="TableContents"/>
              <w:bidi w:val="0"/>
              <w:spacing w:before="0" w:after="0"/>
              <w:jc w:val="left"/>
              <w:rPr>
                <w:spacing w:val="0"/>
              </w:rPr>
            </w:pPr>
            <w:r>
              <w:rPr>
                <w:spacing w:val="0"/>
              </w:rPr>
              <w:t> </w:t>
            </w:r>
          </w:p>
        </w:tc>
      </w:tr>
      <w:tr>
        <w:trPr/>
        <w:tc>
          <w:tcPr>
            <w:tcW w:w="38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Numerator:</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7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0"/>
              <w:jc w:val="left"/>
              <w:rPr>
                <w:spacing w:val="0"/>
              </w:rPr>
            </w:pPr>
            <w:r>
              <w:rPr>
                <w:spacing w:val="0"/>
              </w:rPr>
              <w:t> </w:t>
            </w:r>
          </w:p>
        </w:tc>
        <w:tc>
          <w:tcPr>
            <w:tcW w:w="178"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right"/>
              <w:rPr>
                <w:spacing w:val="0"/>
              </w:rPr>
            </w:pPr>
            <w:r>
              <w:rPr>
                <w:spacing w:val="0"/>
              </w:rPr>
              <w:t>(552,212</w:t>
            </w:r>
          </w:p>
        </w:tc>
        <w:tc>
          <w:tcPr>
            <w:tcW w:w="141" w:type="dxa"/>
            <w:tcBorders/>
            <w:vAlign w:val="center"/>
          </w:tcPr>
          <w:p>
            <w:pPr>
              <w:pStyle w:val="TableContents"/>
              <w:bidi w:val="0"/>
              <w:spacing w:before="0" w:after="0"/>
              <w:jc w:val="left"/>
              <w:rPr>
                <w:spacing w:val="0"/>
              </w:rPr>
            </w:pPr>
            <w:r>
              <w:rPr>
                <w:spacing w:val="0"/>
              </w:rPr>
              <w:t>)</w:t>
            </w:r>
          </w:p>
        </w:tc>
        <w:tc>
          <w:tcPr>
            <w:tcW w:w="89"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0"/>
              <w:jc w:val="right"/>
              <w:rPr>
                <w:spacing w:val="0"/>
              </w:rPr>
            </w:pPr>
            <w:r>
              <w:rPr>
                <w:spacing w:val="0"/>
              </w:rPr>
              <w:t>(55,832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283"/>
              <w:jc w:val="left"/>
              <w:rPr/>
            </w:pPr>
            <w:r>
              <w:rPr/>
              <w:t>$</w:t>
            </w:r>
          </w:p>
        </w:tc>
        <w:tc>
          <w:tcPr>
            <w:tcW w:w="1118" w:type="dxa"/>
            <w:tcBorders/>
            <w:vAlign w:val="center"/>
          </w:tcPr>
          <w:p>
            <w:pPr>
              <w:pStyle w:val="TableContents"/>
              <w:bidi w:val="0"/>
              <w:spacing w:before="0" w:after="0"/>
              <w:jc w:val="right"/>
              <w:rPr>
                <w:spacing w:val="0"/>
              </w:rPr>
            </w:pPr>
            <w:r>
              <w:rPr>
                <w:spacing w:val="0"/>
              </w:rPr>
              <w:t>(616,955</w:t>
            </w:r>
          </w:p>
        </w:tc>
        <w:tc>
          <w:tcPr>
            <w:tcW w:w="120" w:type="dxa"/>
            <w:tcBorders/>
            <w:vAlign w:val="center"/>
          </w:tcPr>
          <w:p>
            <w:pPr>
              <w:pStyle w:val="TableContents"/>
              <w:bidi w:val="0"/>
              <w:spacing w:before="0" w:after="0"/>
              <w:jc w:val="left"/>
              <w:rPr>
                <w:spacing w:val="0"/>
              </w:rPr>
            </w:pPr>
            <w:r>
              <w:rPr>
                <w:spacing w:val="0"/>
              </w:rPr>
              <w:t>)</w:t>
            </w:r>
          </w:p>
        </w:tc>
        <w:tc>
          <w:tcPr>
            <w:tcW w:w="75"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0"/>
              <w:jc w:val="right"/>
              <w:rPr>
                <w:spacing w:val="0"/>
              </w:rPr>
            </w:pPr>
            <w:r>
              <w:rPr>
                <w:spacing w:val="0"/>
              </w:rPr>
              <w:t>(110,209</w:t>
            </w:r>
          </w:p>
        </w:tc>
        <w:tc>
          <w:tcPr>
            <w:tcW w:w="179" w:type="dxa"/>
            <w:tcBorders/>
            <w:vAlign w:val="center"/>
          </w:tcPr>
          <w:p>
            <w:pPr>
              <w:pStyle w:val="TableContents"/>
              <w:bidi w:val="0"/>
              <w:spacing w:before="0" w:after="0"/>
              <w:jc w:val="left"/>
              <w:rPr>
                <w:spacing w:val="0"/>
              </w:rPr>
            </w:pPr>
            <w:r>
              <w:rPr>
                <w:spacing w:val="0"/>
              </w:rPr>
              <w:t>) </w:t>
            </w:r>
          </w:p>
        </w:tc>
      </w:tr>
      <w:tr>
        <w:trPr/>
        <w:tc>
          <w:tcPr>
            <w:tcW w:w="38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Dividends on Series A, B, B-1, B-2, C, D, E, F, G, G-3, and G-4 preferred shares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0"/>
              <w:jc w:val="left"/>
              <w:rPr>
                <w:spacing w:val="0"/>
              </w:rPr>
            </w:pPr>
            <w:r>
              <w:rPr>
                <w:spacing w:val="0"/>
              </w:rPr>
              <w:t> </w:t>
            </w:r>
          </w:p>
        </w:tc>
        <w:tc>
          <w:tcPr>
            <w:tcW w:w="1309" w:type="dxa"/>
            <w:tcBorders/>
            <w:shd w:fill="CCEEFF" w:val="clear"/>
            <w:vAlign w:val="center"/>
          </w:tcPr>
          <w:p>
            <w:pPr>
              <w:pStyle w:val="TableContents"/>
              <w:bidi w:val="0"/>
              <w:spacing w:before="0" w:after="0"/>
              <w:jc w:val="right"/>
              <w:rPr>
                <w:spacing w:val="0"/>
              </w:rPr>
            </w:pPr>
            <w:r>
              <w:rPr>
                <w:spacing w:val="0"/>
              </w:rPr>
              <w:t>(11,540</w:t>
            </w:r>
          </w:p>
        </w:tc>
        <w:tc>
          <w:tcPr>
            <w:tcW w:w="141" w:type="dxa"/>
            <w:tcBorders/>
            <w:shd w:fill="CCEEFF" w:val="clear"/>
            <w:vAlign w:val="center"/>
          </w:tcPr>
          <w:p>
            <w:pPr>
              <w:pStyle w:val="TableContents"/>
              <w:bidi w:val="0"/>
              <w:spacing w:before="0" w:after="0"/>
              <w:jc w:val="left"/>
              <w:rPr>
                <w:spacing w:val="0"/>
              </w:rPr>
            </w:pPr>
            <w:r>
              <w:rPr>
                <w:spacing w:val="0"/>
              </w:rPr>
              <w:t>)</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0"/>
              <w:jc w:val="left"/>
              <w:rPr>
                <w:spacing w:val="0"/>
              </w:rPr>
            </w:pPr>
            <w:r>
              <w:rPr>
                <w:spacing w:val="0"/>
              </w:rPr>
              <w:t> </w:t>
            </w:r>
          </w:p>
        </w:tc>
        <w:tc>
          <w:tcPr>
            <w:tcW w:w="1132" w:type="dxa"/>
            <w:tcBorders/>
            <w:shd w:fill="CCEEFF" w:val="clear"/>
            <w:vAlign w:val="center"/>
          </w:tcPr>
          <w:p>
            <w:pPr>
              <w:pStyle w:val="TableContents"/>
              <w:bidi w:val="0"/>
              <w:spacing w:before="0" w:after="0"/>
              <w:jc w:val="right"/>
              <w:rPr>
                <w:spacing w:val="0"/>
              </w:rPr>
            </w:pPr>
            <w:r>
              <w:rPr>
                <w:spacing w:val="0"/>
              </w:rPr>
              <w:t>(10,897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78" w:type="dxa"/>
            <w:tcBorders/>
            <w:shd w:fill="CCEEFF" w:val="clear"/>
            <w:vAlign w:val="center"/>
          </w:tcPr>
          <w:p>
            <w:pPr>
              <w:pStyle w:val="TableContents"/>
              <w:bidi w:val="0"/>
              <w:spacing w:before="0" w:after="0"/>
              <w:jc w:val="left"/>
              <w:rPr>
                <w:spacing w:val="0"/>
              </w:rPr>
            </w:pPr>
            <w:r>
              <w:rPr>
                <w:spacing w:val="0"/>
              </w:rPr>
              <w:t> </w:t>
            </w:r>
          </w:p>
        </w:tc>
        <w:tc>
          <w:tcPr>
            <w:tcW w:w="1118" w:type="dxa"/>
            <w:tcBorders/>
            <w:shd w:fill="CCEEFF" w:val="clear"/>
            <w:vAlign w:val="center"/>
          </w:tcPr>
          <w:p>
            <w:pPr>
              <w:pStyle w:val="TableContents"/>
              <w:bidi w:val="0"/>
              <w:spacing w:before="0" w:after="0"/>
              <w:jc w:val="right"/>
              <w:rPr>
                <w:spacing w:val="0"/>
              </w:rPr>
            </w:pPr>
            <w:r>
              <w:rPr>
                <w:spacing w:val="0"/>
              </w:rPr>
              <w:t>(39,347</w:t>
            </w:r>
          </w:p>
        </w:tc>
        <w:tc>
          <w:tcPr>
            <w:tcW w:w="120" w:type="dxa"/>
            <w:tcBorders/>
            <w:shd w:fill="CCEEFF" w:val="clear"/>
            <w:vAlign w:val="center"/>
          </w:tcPr>
          <w:p>
            <w:pPr>
              <w:pStyle w:val="TableContents"/>
              <w:bidi w:val="0"/>
              <w:spacing w:before="0" w:after="0"/>
              <w:jc w:val="left"/>
              <w:rPr>
                <w:spacing w:val="0"/>
              </w:rPr>
            </w:pPr>
            <w:r>
              <w:rPr>
                <w:spacing w:val="0"/>
              </w:rPr>
              <w:t>)</w:t>
            </w:r>
          </w:p>
        </w:tc>
        <w:tc>
          <w:tcPr>
            <w:tcW w:w="75" w:type="dxa"/>
            <w:tcBorders/>
            <w:shd w:fill="CCEEFF" w:val="clear"/>
            <w:vAlign w:val="center"/>
          </w:tcPr>
          <w:p>
            <w:pPr>
              <w:pStyle w:val="TableContents"/>
              <w:bidi w:val="0"/>
              <w:spacing w:before="0" w:after="0"/>
              <w:jc w:val="left"/>
              <w:rPr>
                <w:spacing w:val="0"/>
              </w:rPr>
            </w:pPr>
            <w:r>
              <w:rPr>
                <w:spacing w:val="0"/>
              </w:rPr>
              <w:t> </w:t>
            </w:r>
          </w:p>
        </w:tc>
        <w:tc>
          <w:tcPr>
            <w:tcW w:w="178" w:type="dxa"/>
            <w:tcBorders/>
            <w:shd w:fill="CCEEFF" w:val="clear"/>
            <w:vAlign w:val="center"/>
          </w:tcPr>
          <w:p>
            <w:pPr>
              <w:pStyle w:val="TableContents"/>
              <w:bidi w:val="0"/>
              <w:spacing w:before="0" w:after="0"/>
              <w:jc w:val="left"/>
              <w:rPr>
                <w:spacing w:val="0"/>
              </w:rPr>
            </w:pPr>
            <w:r>
              <w:rPr>
                <w:spacing w:val="0"/>
              </w:rPr>
              <w:t> </w:t>
            </w:r>
          </w:p>
        </w:tc>
        <w:tc>
          <w:tcPr>
            <w:tcW w:w="1120" w:type="dxa"/>
            <w:tcBorders/>
            <w:shd w:fill="CCEEFF" w:val="clear"/>
            <w:vAlign w:val="center"/>
          </w:tcPr>
          <w:p>
            <w:pPr>
              <w:pStyle w:val="TableContents"/>
              <w:bidi w:val="0"/>
              <w:spacing w:before="0" w:after="0"/>
              <w:jc w:val="right"/>
              <w:rPr>
                <w:spacing w:val="0"/>
              </w:rPr>
            </w:pPr>
            <w:r>
              <w:rPr>
                <w:spacing w:val="0"/>
              </w:rPr>
              <w:t>(21,566</w:t>
            </w:r>
          </w:p>
        </w:tc>
        <w:tc>
          <w:tcPr>
            <w:tcW w:w="179" w:type="dxa"/>
            <w:tcBorders/>
            <w:shd w:fill="CCEEFF" w:val="clear"/>
            <w:vAlign w:val="center"/>
          </w:tcPr>
          <w:p>
            <w:pPr>
              <w:pStyle w:val="TableContents"/>
              <w:bidi w:val="0"/>
              <w:spacing w:before="0" w:after="0"/>
              <w:jc w:val="left"/>
              <w:rPr>
                <w:spacing w:val="0"/>
              </w:rPr>
            </w:pPr>
            <w:r>
              <w:rPr>
                <w:spacing w:val="0"/>
              </w:rPr>
              <w:t>) </w:t>
            </w:r>
          </w:p>
        </w:tc>
      </w:tr>
      <w:tr>
        <w:trPr/>
        <w:tc>
          <w:tcPr>
            <w:tcW w:w="38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Cumulative Undeclared Dividends on Series C preferred shares</w:t>
            </w:r>
          </w:p>
        </w:tc>
        <w:tc>
          <w:tcPr>
            <w:tcW w:w="120"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rPr>
            </w:pPr>
            <w:r>
              <w:rPr>
                <w:spacing w:val="0"/>
              </w:rPr>
              <w:t> </w:t>
            </w:r>
          </w:p>
        </w:tc>
        <w:tc>
          <w:tcPr>
            <w:tcW w:w="1309" w:type="dxa"/>
            <w:tcBorders/>
            <w:vAlign w:val="center"/>
          </w:tcPr>
          <w:p>
            <w:pPr>
              <w:pStyle w:val="TableContents"/>
              <w:bidi w:val="0"/>
              <w:spacing w:before="0" w:after="0"/>
              <w:jc w:val="right"/>
              <w:rPr>
                <w:spacing w:val="0"/>
              </w:rPr>
            </w:pPr>
            <w:r>
              <w:rPr>
                <w:spacing w:val="0"/>
              </w:rPr>
              <w:t>(668</w:t>
            </w:r>
          </w:p>
        </w:tc>
        <w:tc>
          <w:tcPr>
            <w:tcW w:w="141" w:type="dxa"/>
            <w:tcBorders/>
            <w:vAlign w:val="center"/>
          </w:tcPr>
          <w:p>
            <w:pPr>
              <w:pStyle w:val="TableContents"/>
              <w:bidi w:val="0"/>
              <w:spacing w:before="0" w:after="0"/>
              <w:jc w:val="left"/>
              <w:rPr>
                <w:spacing w:val="0"/>
              </w:rPr>
            </w:pPr>
            <w:r>
              <w:rPr>
                <w:spacing w:val="0"/>
              </w:rPr>
              <w:t>)</w:t>
            </w:r>
          </w:p>
        </w:tc>
        <w:tc>
          <w:tcPr>
            <w:tcW w:w="89"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rPr>
            </w:pPr>
            <w:r>
              <w:rPr>
                <w:spacing w:val="0"/>
              </w:rPr>
              <w:t> </w:t>
            </w:r>
          </w:p>
        </w:tc>
        <w:tc>
          <w:tcPr>
            <w:tcW w:w="1132" w:type="dxa"/>
            <w:tcBorders/>
            <w:vAlign w:val="center"/>
          </w:tcPr>
          <w:p>
            <w:pPr>
              <w:pStyle w:val="TableContents"/>
              <w:bidi w:val="0"/>
              <w:spacing w:before="0" w:after="0"/>
              <w:jc w:val="right"/>
              <w:rPr>
                <w:spacing w:val="0"/>
              </w:rPr>
            </w:pPr>
            <w:r>
              <w:rPr>
                <w:spacing w:val="0"/>
              </w:rPr>
              <w:t>(745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rPr>
            </w:pPr>
            <w:r>
              <w:rPr>
                <w:spacing w:val="0"/>
              </w:rPr>
              <w:t> </w:t>
            </w:r>
          </w:p>
        </w:tc>
        <w:tc>
          <w:tcPr>
            <w:tcW w:w="1118" w:type="dxa"/>
            <w:tcBorders/>
            <w:vAlign w:val="center"/>
          </w:tcPr>
          <w:p>
            <w:pPr>
              <w:pStyle w:val="TableContents"/>
              <w:bidi w:val="0"/>
              <w:spacing w:before="0" w:after="0"/>
              <w:jc w:val="right"/>
              <w:rPr>
                <w:spacing w:val="0"/>
              </w:rPr>
            </w:pPr>
            <w:r>
              <w:rPr>
                <w:spacing w:val="0"/>
              </w:rPr>
              <w:t>(1,174</w:t>
            </w:r>
          </w:p>
        </w:tc>
        <w:tc>
          <w:tcPr>
            <w:tcW w:w="120" w:type="dxa"/>
            <w:tcBorders/>
            <w:vAlign w:val="center"/>
          </w:tcPr>
          <w:p>
            <w:pPr>
              <w:pStyle w:val="TableContents"/>
              <w:bidi w:val="0"/>
              <w:spacing w:before="0" w:after="0"/>
              <w:jc w:val="left"/>
              <w:rPr>
                <w:spacing w:val="0"/>
              </w:rPr>
            </w:pPr>
            <w:r>
              <w:rPr>
                <w:spacing w:val="0"/>
              </w:rPr>
              <w:t>)</w:t>
            </w:r>
          </w:p>
        </w:tc>
        <w:tc>
          <w:tcPr>
            <w:tcW w:w="75"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rPr>
            </w:pPr>
            <w:r>
              <w:rPr>
                <w:spacing w:val="0"/>
              </w:rPr>
              <w:t> </w:t>
            </w:r>
          </w:p>
        </w:tc>
        <w:tc>
          <w:tcPr>
            <w:tcW w:w="1120" w:type="dxa"/>
            <w:tcBorders/>
            <w:vAlign w:val="center"/>
          </w:tcPr>
          <w:p>
            <w:pPr>
              <w:pStyle w:val="TableContents"/>
              <w:bidi w:val="0"/>
              <w:spacing w:before="0" w:after="0"/>
              <w:jc w:val="right"/>
              <w:rPr>
                <w:spacing w:val="0"/>
              </w:rPr>
            </w:pPr>
            <w:r>
              <w:rPr>
                <w:spacing w:val="0"/>
              </w:rPr>
              <w:t>(1,466</w:t>
            </w:r>
          </w:p>
        </w:tc>
        <w:tc>
          <w:tcPr>
            <w:tcW w:w="179" w:type="dxa"/>
            <w:tcBorders/>
            <w:vAlign w:val="center"/>
          </w:tcPr>
          <w:p>
            <w:pPr>
              <w:pStyle w:val="TableContents"/>
              <w:bidi w:val="0"/>
              <w:spacing w:before="0" w:after="0"/>
              <w:jc w:val="left"/>
              <w:rPr>
                <w:spacing w:val="0"/>
              </w:rPr>
            </w:pPr>
            <w:r>
              <w:rPr>
                <w:spacing w:val="0"/>
              </w:rPr>
              <w:t>) </w:t>
            </w:r>
          </w:p>
        </w:tc>
      </w:tr>
      <w:tr>
        <w:trPr/>
        <w:tc>
          <w:tcPr>
            <w:tcW w:w="3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1" w:type="dxa"/>
            <w:tcBorders/>
            <w:vAlign w:val="center"/>
          </w:tcPr>
          <w:p>
            <w:pPr>
              <w:pStyle w:val="TableContents"/>
              <w:bidi w:val="0"/>
              <w:spacing w:before="0" w:after="0"/>
              <w:jc w:val="left"/>
              <w:rPr>
                <w:spacing w:val="0"/>
              </w:rPr>
            </w:pPr>
            <w:r>
              <w:rPr>
                <w:spacing w:val="0"/>
              </w:rPr>
              <w:t> </w:t>
            </w:r>
          </w:p>
        </w:tc>
        <w:tc>
          <w:tcPr>
            <w:tcW w:w="89"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9" w:type="dxa"/>
            <w:tcBorders/>
            <w:vAlign w:val="center"/>
          </w:tcPr>
          <w:p>
            <w:pPr>
              <w:pStyle w:val="TableContents"/>
              <w:bidi w:val="0"/>
              <w:spacing w:before="0" w:after="0"/>
              <w:jc w:val="left"/>
              <w:rPr>
                <w:spacing w:val="0"/>
              </w:rPr>
            </w:pPr>
            <w:r>
              <w:rPr>
                <w:spacing w:val="0"/>
              </w:rPr>
              <w:t> </w:t>
            </w:r>
          </w:p>
        </w:tc>
      </w:tr>
      <w:tr>
        <w:trPr/>
        <w:tc>
          <w:tcPr>
            <w:tcW w:w="38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attributable to common stockholders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0"/>
              <w:jc w:val="left"/>
              <w:rPr>
                <w:spacing w:val="0"/>
              </w:rPr>
            </w:pPr>
            <w:r>
              <w:rPr>
                <w:spacing w:val="0"/>
              </w:rPr>
              <w:t>$</w:t>
            </w:r>
          </w:p>
        </w:tc>
        <w:tc>
          <w:tcPr>
            <w:tcW w:w="1309" w:type="dxa"/>
            <w:tcBorders/>
            <w:shd w:fill="CCEEFF" w:val="clear"/>
            <w:vAlign w:val="center"/>
          </w:tcPr>
          <w:p>
            <w:pPr>
              <w:pStyle w:val="TableContents"/>
              <w:bidi w:val="0"/>
              <w:spacing w:before="0" w:after="0"/>
              <w:jc w:val="right"/>
              <w:rPr>
                <w:spacing w:val="0"/>
              </w:rPr>
            </w:pPr>
            <w:r>
              <w:rPr>
                <w:spacing w:val="0"/>
              </w:rPr>
              <w:t>(564,420</w:t>
            </w:r>
          </w:p>
        </w:tc>
        <w:tc>
          <w:tcPr>
            <w:tcW w:w="141" w:type="dxa"/>
            <w:tcBorders/>
            <w:shd w:fill="CCEEFF" w:val="clear"/>
            <w:vAlign w:val="center"/>
          </w:tcPr>
          <w:p>
            <w:pPr>
              <w:pStyle w:val="TableContents"/>
              <w:bidi w:val="0"/>
              <w:spacing w:before="0" w:after="0"/>
              <w:jc w:val="left"/>
              <w:rPr>
                <w:spacing w:val="0"/>
              </w:rPr>
            </w:pPr>
            <w:r>
              <w:rPr>
                <w:spacing w:val="0"/>
              </w:rPr>
              <w:t>)</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0"/>
              <w:jc w:val="left"/>
              <w:rPr>
                <w:spacing w:val="0"/>
              </w:rPr>
            </w:pPr>
            <w:r>
              <w:rPr>
                <w:spacing w:val="0"/>
              </w:rPr>
              <w:t>$</w:t>
            </w:r>
          </w:p>
          <w:p>
            <w:pPr>
              <w:pStyle w:val="TableContents"/>
              <w:bidi w:val="0"/>
              <w:spacing w:before="0" w:after="0"/>
              <w:jc w:val="left"/>
              <w:rPr/>
            </w:pPr>
            <w:r>
              <w:rPr/>
            </w:r>
          </w:p>
        </w:tc>
        <w:tc>
          <w:tcPr>
            <w:tcW w:w="1132" w:type="dxa"/>
            <w:tcBorders/>
            <w:shd w:fill="CCEEFF" w:val="clear"/>
            <w:vAlign w:val="center"/>
          </w:tcPr>
          <w:p>
            <w:pPr>
              <w:pStyle w:val="TableContents"/>
              <w:bidi w:val="0"/>
              <w:spacing w:before="0" w:after="0"/>
              <w:jc w:val="right"/>
              <w:rPr>
                <w:spacing w:val="0"/>
              </w:rPr>
            </w:pPr>
            <w:r>
              <w:rPr>
                <w:spacing w:val="0"/>
              </w:rPr>
              <w:t>(67,474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78" w:type="dxa"/>
            <w:tcBorders/>
            <w:shd w:fill="CCEEFF" w:val="clear"/>
            <w:vAlign w:val="center"/>
          </w:tcPr>
          <w:p>
            <w:pPr>
              <w:pStyle w:val="TableContents"/>
              <w:bidi w:val="0"/>
              <w:spacing w:before="0" w:after="0"/>
              <w:jc w:val="left"/>
              <w:rPr>
                <w:spacing w:val="0"/>
              </w:rPr>
            </w:pPr>
            <w:r>
              <w:rPr>
                <w:spacing w:val="0"/>
              </w:rPr>
              <w:t>$</w:t>
            </w:r>
          </w:p>
        </w:tc>
        <w:tc>
          <w:tcPr>
            <w:tcW w:w="1118" w:type="dxa"/>
            <w:tcBorders/>
            <w:shd w:fill="CCEEFF" w:val="clear"/>
            <w:vAlign w:val="center"/>
          </w:tcPr>
          <w:p>
            <w:pPr>
              <w:pStyle w:val="TableContents"/>
              <w:bidi w:val="0"/>
              <w:spacing w:before="0" w:after="0"/>
              <w:jc w:val="right"/>
              <w:rPr>
                <w:spacing w:val="0"/>
              </w:rPr>
            </w:pPr>
            <w:r>
              <w:rPr>
                <w:spacing w:val="0"/>
              </w:rPr>
              <w:t>(657,476</w:t>
            </w:r>
          </w:p>
        </w:tc>
        <w:tc>
          <w:tcPr>
            <w:tcW w:w="120" w:type="dxa"/>
            <w:tcBorders/>
            <w:shd w:fill="CCEEFF" w:val="clear"/>
            <w:vAlign w:val="center"/>
          </w:tcPr>
          <w:p>
            <w:pPr>
              <w:pStyle w:val="TableContents"/>
              <w:bidi w:val="0"/>
              <w:spacing w:before="0" w:after="0"/>
              <w:jc w:val="left"/>
              <w:rPr>
                <w:spacing w:val="0"/>
              </w:rPr>
            </w:pPr>
            <w:r>
              <w:rPr>
                <w:spacing w:val="0"/>
              </w:rPr>
              <w:t>)</w:t>
            </w:r>
          </w:p>
        </w:tc>
        <w:tc>
          <w:tcPr>
            <w:tcW w:w="75" w:type="dxa"/>
            <w:tcBorders/>
            <w:shd w:fill="CCEEFF" w:val="clear"/>
            <w:vAlign w:val="center"/>
          </w:tcPr>
          <w:p>
            <w:pPr>
              <w:pStyle w:val="TableContents"/>
              <w:bidi w:val="0"/>
              <w:spacing w:before="0" w:after="0"/>
              <w:jc w:val="left"/>
              <w:rPr>
                <w:spacing w:val="0"/>
              </w:rPr>
            </w:pPr>
            <w:r>
              <w:rPr>
                <w:spacing w:val="0"/>
              </w:rPr>
              <w:t> </w:t>
            </w:r>
          </w:p>
        </w:tc>
        <w:tc>
          <w:tcPr>
            <w:tcW w:w="178" w:type="dxa"/>
            <w:tcBorders/>
            <w:shd w:fill="CCEEFF" w:val="clear"/>
            <w:vAlign w:val="center"/>
          </w:tcPr>
          <w:p>
            <w:pPr>
              <w:pStyle w:val="TableContents"/>
              <w:bidi w:val="0"/>
              <w:spacing w:before="0" w:after="0"/>
              <w:jc w:val="left"/>
              <w:rPr>
                <w:spacing w:val="0"/>
              </w:rPr>
            </w:pPr>
            <w:r>
              <w:rPr>
                <w:spacing w:val="0"/>
              </w:rPr>
              <w:t>$</w:t>
            </w:r>
          </w:p>
        </w:tc>
        <w:tc>
          <w:tcPr>
            <w:tcW w:w="1120" w:type="dxa"/>
            <w:tcBorders/>
            <w:shd w:fill="CCEEFF" w:val="clear"/>
            <w:vAlign w:val="center"/>
          </w:tcPr>
          <w:p>
            <w:pPr>
              <w:pStyle w:val="TableContents"/>
              <w:bidi w:val="0"/>
              <w:spacing w:before="0" w:after="0"/>
              <w:jc w:val="right"/>
              <w:rPr>
                <w:spacing w:val="0"/>
              </w:rPr>
            </w:pPr>
            <w:r>
              <w:rPr>
                <w:spacing w:val="0"/>
              </w:rPr>
              <w:t>(133,241</w:t>
            </w:r>
          </w:p>
        </w:tc>
        <w:tc>
          <w:tcPr>
            <w:tcW w:w="179" w:type="dxa"/>
            <w:tcBorders/>
            <w:shd w:fill="CCEEFF" w:val="clear"/>
            <w:vAlign w:val="center"/>
          </w:tcPr>
          <w:p>
            <w:pPr>
              <w:pStyle w:val="TableContents"/>
              <w:bidi w:val="0"/>
              <w:spacing w:before="0" w:after="0"/>
              <w:jc w:val="left"/>
              <w:rPr>
                <w:spacing w:val="0"/>
              </w:rPr>
            </w:pPr>
            <w:r>
              <w:rPr>
                <w:spacing w:val="0"/>
              </w:rPr>
              <w:t>) </w:t>
            </w:r>
          </w:p>
        </w:tc>
      </w:tr>
      <w:tr>
        <w:trPr/>
        <w:tc>
          <w:tcPr>
            <w:tcW w:w="3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1" w:type="dxa"/>
            <w:tcBorders/>
            <w:vAlign w:val="center"/>
          </w:tcPr>
          <w:p>
            <w:pPr>
              <w:pStyle w:val="TableContents"/>
              <w:bidi w:val="0"/>
              <w:spacing w:before="0" w:after="0"/>
              <w:jc w:val="left"/>
              <w:rPr>
                <w:spacing w:val="0"/>
              </w:rPr>
            </w:pPr>
            <w:r>
              <w:rPr>
                <w:spacing w:val="0"/>
              </w:rPr>
              <w:t> </w:t>
            </w:r>
          </w:p>
        </w:tc>
        <w:tc>
          <w:tcPr>
            <w:tcW w:w="89"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9" w:type="dxa"/>
            <w:tcBorders/>
            <w:vAlign w:val="center"/>
          </w:tcPr>
          <w:p>
            <w:pPr>
              <w:pStyle w:val="TableContents"/>
              <w:bidi w:val="0"/>
              <w:spacing w:before="0" w:after="0"/>
              <w:jc w:val="left"/>
              <w:rPr>
                <w:spacing w:val="0"/>
              </w:rPr>
            </w:pPr>
            <w:r>
              <w:rPr>
                <w:spacing w:val="0"/>
              </w:rPr>
              <w:t> </w:t>
            </w:r>
          </w:p>
        </w:tc>
      </w:tr>
      <w:tr>
        <w:trPr/>
        <w:tc>
          <w:tcPr>
            <w:tcW w:w="38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Denominator:</w:t>
            </w:r>
          </w:p>
        </w:tc>
        <w:tc>
          <w:tcPr>
            <w:tcW w:w="120"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0"/>
              <w:jc w:val="left"/>
              <w:rPr>
                <w:spacing w:val="0"/>
              </w:rPr>
            </w:pPr>
            <w:r>
              <w:rPr>
                <w:spacing w:val="0"/>
              </w:rPr>
              <w:t> </w:t>
            </w:r>
          </w:p>
        </w:tc>
        <w:tc>
          <w:tcPr>
            <w:tcW w:w="1309" w:type="dxa"/>
            <w:tcBorders/>
            <w:shd w:fill="CCEEFF" w:val="clear"/>
            <w:vAlign w:val="center"/>
          </w:tcPr>
          <w:p>
            <w:pPr>
              <w:pStyle w:val="TableContents"/>
              <w:bidi w:val="0"/>
              <w:spacing w:before="0" w:after="0"/>
              <w:jc w:val="right"/>
              <w:rPr>
                <w:spacing w:val="0"/>
              </w:rPr>
            </w:pPr>
            <w:r>
              <w:rPr>
                <w:spacing w:val="0"/>
              </w:rPr>
              <w:t>82,325</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0"/>
              <w:jc w:val="left"/>
              <w:rPr>
                <w:spacing w:val="0"/>
              </w:rPr>
            </w:pPr>
            <w:r>
              <w:rPr>
                <w:spacing w:val="0"/>
              </w:rPr>
              <w:t> </w:t>
            </w:r>
          </w:p>
        </w:tc>
        <w:tc>
          <w:tcPr>
            <w:tcW w:w="1132" w:type="dxa"/>
            <w:tcBorders/>
            <w:shd w:fill="CCEEFF" w:val="clear"/>
            <w:vAlign w:val="center"/>
          </w:tcPr>
          <w:p>
            <w:pPr>
              <w:pStyle w:val="TableContents"/>
              <w:bidi w:val="0"/>
              <w:spacing w:before="0" w:after="0"/>
              <w:jc w:val="right"/>
              <w:rPr>
                <w:spacing w:val="0"/>
              </w:rPr>
            </w:pPr>
            <w:r>
              <w:rPr>
                <w:spacing w:val="0"/>
              </w:rPr>
              <w:t>63,286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78" w:type="dxa"/>
            <w:tcBorders/>
            <w:shd w:fill="CCEEFF" w:val="clear"/>
            <w:vAlign w:val="center"/>
          </w:tcPr>
          <w:p>
            <w:pPr>
              <w:pStyle w:val="TableContents"/>
              <w:bidi w:val="0"/>
              <w:spacing w:before="0" w:after="0"/>
              <w:jc w:val="left"/>
              <w:rPr>
                <w:spacing w:val="0"/>
              </w:rPr>
            </w:pPr>
            <w:r>
              <w:rPr>
                <w:spacing w:val="0"/>
              </w:rPr>
              <w:t> </w:t>
            </w:r>
          </w:p>
        </w:tc>
        <w:tc>
          <w:tcPr>
            <w:tcW w:w="1118" w:type="dxa"/>
            <w:tcBorders/>
            <w:shd w:fill="CCEEFF" w:val="clear"/>
            <w:vAlign w:val="center"/>
          </w:tcPr>
          <w:p>
            <w:pPr>
              <w:pStyle w:val="TableContents"/>
              <w:bidi w:val="0"/>
              <w:spacing w:before="0" w:after="0"/>
              <w:jc w:val="right"/>
              <w:rPr>
                <w:spacing w:val="0"/>
              </w:rPr>
            </w:pPr>
            <w:r>
              <w:rPr>
                <w:spacing w:val="0"/>
              </w:rPr>
              <w:t>72,930</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75" w:type="dxa"/>
            <w:tcBorders/>
            <w:shd w:fill="CCEEFF" w:val="clear"/>
            <w:vAlign w:val="center"/>
          </w:tcPr>
          <w:p>
            <w:pPr>
              <w:pStyle w:val="TableContents"/>
              <w:bidi w:val="0"/>
              <w:spacing w:before="0" w:after="0"/>
              <w:jc w:val="left"/>
              <w:rPr>
                <w:spacing w:val="0"/>
              </w:rPr>
            </w:pPr>
            <w:r>
              <w:rPr>
                <w:spacing w:val="0"/>
              </w:rPr>
              <w:t> </w:t>
            </w:r>
          </w:p>
        </w:tc>
        <w:tc>
          <w:tcPr>
            <w:tcW w:w="178" w:type="dxa"/>
            <w:tcBorders/>
            <w:shd w:fill="CCEEFF" w:val="clear"/>
            <w:vAlign w:val="center"/>
          </w:tcPr>
          <w:p>
            <w:pPr>
              <w:pStyle w:val="TableContents"/>
              <w:bidi w:val="0"/>
              <w:spacing w:before="0" w:after="0"/>
              <w:jc w:val="left"/>
              <w:rPr>
                <w:spacing w:val="0"/>
              </w:rPr>
            </w:pPr>
            <w:r>
              <w:rPr>
                <w:spacing w:val="0"/>
              </w:rPr>
              <w:t> </w:t>
            </w:r>
          </w:p>
        </w:tc>
        <w:tc>
          <w:tcPr>
            <w:tcW w:w="1120" w:type="dxa"/>
            <w:tcBorders/>
            <w:shd w:fill="CCEEFF" w:val="clear"/>
            <w:vAlign w:val="center"/>
          </w:tcPr>
          <w:p>
            <w:pPr>
              <w:pStyle w:val="TableContents"/>
              <w:bidi w:val="0"/>
              <w:spacing w:before="0" w:after="0"/>
              <w:jc w:val="right"/>
              <w:rPr>
                <w:spacing w:val="0"/>
              </w:rPr>
            </w:pPr>
            <w:r>
              <w:rPr>
                <w:spacing w:val="0"/>
              </w:rPr>
              <w:t>63,257</w:t>
            </w:r>
          </w:p>
        </w:tc>
        <w:tc>
          <w:tcPr>
            <w:tcW w:w="179" w:type="dxa"/>
            <w:tcBorders/>
            <w:shd w:fill="CCEEFF" w:val="clear"/>
            <w:vAlign w:val="center"/>
          </w:tcPr>
          <w:p>
            <w:pPr>
              <w:pStyle w:val="TableContents"/>
              <w:bidi w:val="0"/>
              <w:spacing w:before="0" w:after="0"/>
              <w:jc w:val="left"/>
              <w:rPr>
                <w:spacing w:val="0"/>
              </w:rPr>
            </w:pPr>
            <w:r>
              <w:rPr>
                <w:spacing w:val="0"/>
              </w:rPr>
              <w:t> </w:t>
            </w:r>
          </w:p>
        </w:tc>
      </w:tr>
      <w:tr>
        <w:trPr/>
        <w:tc>
          <w:tcPr>
            <w:tcW w:w="3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1" w:type="dxa"/>
            <w:tcBorders/>
            <w:vAlign w:val="center"/>
          </w:tcPr>
          <w:p>
            <w:pPr>
              <w:pStyle w:val="TableContents"/>
              <w:bidi w:val="0"/>
              <w:spacing w:before="0" w:after="0"/>
              <w:jc w:val="left"/>
              <w:rPr>
                <w:spacing w:val="0"/>
              </w:rPr>
            </w:pPr>
            <w:r>
              <w:rPr>
                <w:spacing w:val="0"/>
              </w:rPr>
              <w:t> </w:t>
            </w:r>
          </w:p>
        </w:tc>
        <w:tc>
          <w:tcPr>
            <w:tcW w:w="89"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9" w:type="dxa"/>
            <w:tcBorders/>
            <w:vAlign w:val="center"/>
          </w:tcPr>
          <w:p>
            <w:pPr>
              <w:pStyle w:val="TableContents"/>
              <w:bidi w:val="0"/>
              <w:spacing w:before="0" w:after="0"/>
              <w:jc w:val="left"/>
              <w:rPr>
                <w:spacing w:val="0"/>
              </w:rPr>
            </w:pPr>
            <w:r>
              <w:rPr>
                <w:spacing w:val="0"/>
              </w:rPr>
              <w:t> </w:t>
            </w:r>
          </w:p>
        </w:tc>
      </w:tr>
      <w:tr>
        <w:trPr/>
        <w:tc>
          <w:tcPr>
            <w:tcW w:w="38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loss per share attributable to common stockholders, basic and diluted</w:t>
            </w:r>
          </w:p>
        </w:tc>
        <w:tc>
          <w:tcPr>
            <w:tcW w:w="120"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rPr>
            </w:pPr>
            <w:r>
              <w:rPr>
                <w:spacing w:val="0"/>
              </w:rPr>
              <w:t>$</w:t>
            </w:r>
          </w:p>
        </w:tc>
        <w:tc>
          <w:tcPr>
            <w:tcW w:w="1309" w:type="dxa"/>
            <w:tcBorders/>
            <w:vAlign w:val="center"/>
          </w:tcPr>
          <w:p>
            <w:pPr>
              <w:pStyle w:val="TableContents"/>
              <w:bidi w:val="0"/>
              <w:spacing w:before="0" w:after="0"/>
              <w:jc w:val="right"/>
              <w:rPr>
                <w:spacing w:val="0"/>
              </w:rPr>
            </w:pPr>
            <w:r>
              <w:rPr>
                <w:spacing w:val="0"/>
              </w:rPr>
              <w:t>(6.86</w:t>
            </w:r>
          </w:p>
        </w:tc>
        <w:tc>
          <w:tcPr>
            <w:tcW w:w="141" w:type="dxa"/>
            <w:tcBorders/>
            <w:vAlign w:val="center"/>
          </w:tcPr>
          <w:p>
            <w:pPr>
              <w:pStyle w:val="TableContents"/>
              <w:bidi w:val="0"/>
              <w:spacing w:before="0" w:after="0"/>
              <w:jc w:val="left"/>
              <w:rPr>
                <w:spacing w:val="0"/>
              </w:rPr>
            </w:pPr>
            <w:r>
              <w:rPr>
                <w:spacing w:val="0"/>
              </w:rPr>
              <w:t>)</w:t>
            </w:r>
          </w:p>
        </w:tc>
        <w:tc>
          <w:tcPr>
            <w:tcW w:w="89"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rPr>
            </w:pPr>
            <w:r>
              <w:rPr>
                <w:spacing w:val="0"/>
              </w:rPr>
              <w:t>$</w:t>
            </w:r>
          </w:p>
        </w:tc>
        <w:tc>
          <w:tcPr>
            <w:tcW w:w="1132" w:type="dxa"/>
            <w:tcBorders/>
            <w:vAlign w:val="center"/>
          </w:tcPr>
          <w:p>
            <w:pPr>
              <w:pStyle w:val="TableContents"/>
              <w:bidi w:val="0"/>
              <w:spacing w:before="0" w:after="0"/>
              <w:jc w:val="right"/>
              <w:rPr>
                <w:spacing w:val="0"/>
              </w:rPr>
            </w:pPr>
            <w:r>
              <w:rPr>
                <w:spacing w:val="0"/>
              </w:rPr>
              <w:t>(1.07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rPr>
            </w:pPr>
            <w:r>
              <w:rPr>
                <w:spacing w:val="0"/>
              </w:rPr>
              <w:t>$</w:t>
            </w:r>
          </w:p>
        </w:tc>
        <w:tc>
          <w:tcPr>
            <w:tcW w:w="1118" w:type="dxa"/>
            <w:tcBorders/>
            <w:vAlign w:val="center"/>
          </w:tcPr>
          <w:p>
            <w:pPr>
              <w:pStyle w:val="TableContents"/>
              <w:bidi w:val="0"/>
              <w:spacing w:before="0" w:after="0"/>
              <w:jc w:val="right"/>
              <w:rPr>
                <w:spacing w:val="0"/>
              </w:rPr>
            </w:pPr>
            <w:r>
              <w:rPr>
                <w:spacing w:val="0"/>
              </w:rPr>
              <w:t>(9.02</w:t>
            </w:r>
          </w:p>
        </w:tc>
        <w:tc>
          <w:tcPr>
            <w:tcW w:w="120" w:type="dxa"/>
            <w:tcBorders/>
            <w:vAlign w:val="center"/>
          </w:tcPr>
          <w:p>
            <w:pPr>
              <w:pStyle w:val="TableContents"/>
              <w:bidi w:val="0"/>
              <w:spacing w:before="0" w:after="0"/>
              <w:jc w:val="left"/>
              <w:rPr>
                <w:spacing w:val="0"/>
              </w:rPr>
            </w:pPr>
            <w:r>
              <w:rPr>
                <w:spacing w:val="0"/>
              </w:rPr>
              <w:t>)</w:t>
            </w:r>
          </w:p>
        </w:tc>
        <w:tc>
          <w:tcPr>
            <w:tcW w:w="75"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rPr>
            </w:pPr>
            <w:r>
              <w:rPr>
                <w:spacing w:val="0"/>
              </w:rPr>
              <w:t>$</w:t>
            </w:r>
          </w:p>
        </w:tc>
        <w:tc>
          <w:tcPr>
            <w:tcW w:w="1120" w:type="dxa"/>
            <w:tcBorders/>
            <w:vAlign w:val="center"/>
          </w:tcPr>
          <w:p>
            <w:pPr>
              <w:pStyle w:val="TableContents"/>
              <w:bidi w:val="0"/>
              <w:spacing w:before="0" w:after="0"/>
              <w:jc w:val="right"/>
              <w:rPr>
                <w:spacing w:val="0"/>
              </w:rPr>
            </w:pPr>
            <w:r>
              <w:rPr>
                <w:spacing w:val="0"/>
              </w:rPr>
              <w:t>(2.11</w:t>
            </w:r>
          </w:p>
        </w:tc>
        <w:tc>
          <w:tcPr>
            <w:tcW w:w="179" w:type="dxa"/>
            <w:tcBorders/>
            <w:vAlign w:val="center"/>
          </w:tcPr>
          <w:p>
            <w:pPr>
              <w:pStyle w:val="TableContents"/>
              <w:bidi w:val="0"/>
              <w:spacing w:before="0" w:after="0"/>
              <w:jc w:val="left"/>
              <w:rPr>
                <w:spacing w:val="0"/>
              </w:rPr>
            </w:pPr>
            <w:r>
              <w:rPr>
                <w:spacing w:val="0"/>
              </w:rPr>
              <w:t>) </w:t>
            </w:r>
          </w:p>
        </w:tc>
      </w:tr>
      <w:tr>
        <w:trPr/>
        <w:tc>
          <w:tcPr>
            <w:tcW w:w="3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1" w:type="dxa"/>
            <w:tcBorders/>
            <w:vAlign w:val="center"/>
          </w:tcPr>
          <w:p>
            <w:pPr>
              <w:pStyle w:val="TableContents"/>
              <w:bidi w:val="0"/>
              <w:spacing w:before="0" w:after="0"/>
              <w:jc w:val="left"/>
              <w:rPr>
                <w:spacing w:val="0"/>
              </w:rPr>
            </w:pPr>
            <w:r>
              <w:rPr>
                <w:spacing w:val="0"/>
              </w:rPr>
              <w:t> </w:t>
            </w:r>
          </w:p>
        </w:tc>
        <w:tc>
          <w:tcPr>
            <w:tcW w:w="89" w:type="dxa"/>
            <w:tcBorders/>
            <w:vAlign w:val="center"/>
          </w:tcPr>
          <w:p>
            <w:pPr>
              <w:pStyle w:val="TableContents"/>
              <w:bidi w:val="0"/>
              <w:spacing w:before="0" w:after="0"/>
              <w:jc w:val="left"/>
              <w:rPr>
                <w:spacing w:val="0"/>
              </w:rPr>
            </w:pPr>
            <w:r>
              <w:rPr>
                <w:spacing w:val="0"/>
              </w:rPr>
              <w:t> </w:t>
            </w:r>
          </w:p>
        </w:tc>
        <w:tc>
          <w:tcPr>
            <w:tcW w:w="2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9"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The following outstanding shares of common stock equivalents were excluded from the calculation of diluted net loss per share for each period, as the impact of including them would have been anti-dilutive. As disclosed in Note 8, the Company issued a warrant for $100 million in shares of the Company’s Class A common stock. As per the terms of th</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warrant, potentially dilutive shares are based on the latest equity financing price. </w:t>
      </w:r>
    </w:p>
    <w:p>
      <w:pPr>
        <w:pStyle w:val="TextBody"/>
        <w:bidi w:val="0"/>
        <w:spacing w:before="0" w:after="0"/>
        <w:ind w:left="0" w:right="0" w:hanging="0"/>
        <w:jc w:val="left"/>
        <w:rPr>
          <w:spacing w:val="0"/>
          <w:shd w:fill="FFFFFF" w:val="clear"/>
        </w:rPr>
      </w:pPr>
      <w:r>
        <w:rPr>
          <w:spacing w:val="0"/>
          <w:shd w:fill="FFFFFF" w:val="clear"/>
        </w:rPr>
        <w:t> </w:t>
      </w:r>
    </w:p>
    <w:tbl>
      <w:tblPr>
        <w:tblW w:w="5235" w:type="dxa"/>
        <w:jc w:val="left"/>
        <w:tblInd w:w="0" w:type="dxa"/>
        <w:tblLayout w:type="fixed"/>
        <w:tblCellMar>
          <w:top w:w="0" w:type="dxa"/>
          <w:left w:w="0" w:type="dxa"/>
          <w:bottom w:w="0" w:type="dxa"/>
          <w:right w:w="0" w:type="dxa"/>
        </w:tblCellMar>
      </w:tblPr>
      <w:tblGrid>
        <w:gridCol w:w="2780"/>
        <w:gridCol w:w="120"/>
        <w:gridCol w:w="60"/>
        <w:gridCol w:w="980"/>
        <w:gridCol w:w="60"/>
        <w:gridCol w:w="120"/>
        <w:gridCol w:w="60"/>
        <w:gridCol w:w="980"/>
        <w:gridCol w:w="75"/>
      </w:tblGrid>
      <w:tr>
        <w:trPr/>
        <w:tc>
          <w:tcPr>
            <w:tcW w:w="2780"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60" w:type="dxa"/>
            <w:tcBorders/>
            <w:vAlign w:val="center"/>
          </w:tcPr>
          <w:p>
            <w:pPr>
              <w:pStyle w:val="TableContents"/>
              <w:bidi w:val="0"/>
              <w:spacing w:lineRule="atLeast" w:line="142" w:before="0" w:after="0"/>
              <w:jc w:val="left"/>
              <w:rPr>
                <w:spacing w:val="0"/>
              </w:rPr>
            </w:pPr>
            <w:r>
              <w:rPr>
                <w:spacing w:val="0"/>
              </w:rPr>
              <w:t> </w:t>
            </w:r>
          </w:p>
        </w:tc>
        <w:tc>
          <w:tcPr>
            <w:tcW w:w="980" w:type="dxa"/>
            <w:tcBorders/>
            <w:vAlign w:val="center"/>
          </w:tcPr>
          <w:p>
            <w:pPr>
              <w:pStyle w:val="TableContents"/>
              <w:bidi w:val="0"/>
              <w:spacing w:lineRule="atLeast" w:line="142" w:before="0" w:after="0"/>
              <w:jc w:val="left"/>
              <w:rPr>
                <w:spacing w:val="0"/>
              </w:rPr>
            </w:pPr>
            <w:r>
              <w:rPr>
                <w:spacing w:val="0"/>
              </w:rPr>
              <w:t> </w:t>
            </w:r>
          </w:p>
        </w:tc>
        <w:tc>
          <w:tcPr>
            <w:tcW w:w="60"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60" w:type="dxa"/>
            <w:tcBorders/>
            <w:vAlign w:val="center"/>
          </w:tcPr>
          <w:p>
            <w:pPr>
              <w:pStyle w:val="TableContents"/>
              <w:bidi w:val="0"/>
              <w:spacing w:lineRule="atLeast" w:line="142" w:before="0" w:after="0"/>
              <w:jc w:val="left"/>
              <w:rPr>
                <w:spacing w:val="0"/>
              </w:rPr>
            </w:pPr>
            <w:r>
              <w:rPr>
                <w:spacing w:val="0"/>
              </w:rPr>
              <w:t> </w:t>
            </w:r>
          </w:p>
        </w:tc>
        <w:tc>
          <w:tcPr>
            <w:tcW w:w="980" w:type="dxa"/>
            <w:tcBorders/>
            <w:vAlign w:val="center"/>
          </w:tcPr>
          <w:p>
            <w:pPr>
              <w:pStyle w:val="TableContents"/>
              <w:bidi w:val="0"/>
              <w:spacing w:lineRule="atLeast" w:line="142" w:before="0" w:after="0"/>
              <w:jc w:val="left"/>
              <w:rPr>
                <w:spacing w:val="0"/>
              </w:rPr>
            </w:pPr>
            <w:r>
              <w:rPr>
                <w:spacing w:val="0"/>
              </w:rPr>
              <w:t> </w:t>
            </w:r>
          </w:p>
        </w:tc>
        <w:tc>
          <w:tcPr>
            <w:tcW w:w="75" w:type="dxa"/>
            <w:tcBorders/>
            <w:vAlign w:val="center"/>
          </w:tcPr>
          <w:p>
            <w:pPr>
              <w:pStyle w:val="TableContents"/>
              <w:bidi w:val="0"/>
              <w:spacing w:lineRule="atLeast" w:line="142" w:before="0" w:after="0"/>
              <w:jc w:val="left"/>
              <w:rPr>
                <w:spacing w:val="0"/>
              </w:rPr>
            </w:pPr>
            <w:r>
              <w:rPr>
                <w:spacing w:val="0"/>
              </w:rPr>
              <w:t> </w:t>
            </w:r>
          </w:p>
        </w:tc>
      </w:tr>
      <w:tr>
        <w:trPr/>
        <w:tc>
          <w:tcPr>
            <w:tcW w:w="27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60" w:type="dxa"/>
            <w:gridSpan w:val="6"/>
            <w:tcBorders/>
            <w:vAlign w:val="center"/>
          </w:tcPr>
          <w:p>
            <w:pPr>
              <w:pStyle w:val="TableContents"/>
              <w:bidi w:val="0"/>
              <w:spacing w:before="0" w:after="0"/>
              <w:jc w:val="center"/>
              <w:rPr>
                <w:b/>
                <w:spacing w:val="0"/>
              </w:rPr>
            </w:pPr>
            <w:r>
              <w:rPr>
                <w:b/>
                <w:spacing w:val="0"/>
              </w:rPr>
              <w:t>As of June 30,</w:t>
            </w:r>
          </w:p>
        </w:tc>
        <w:tc>
          <w:tcPr>
            <w:tcW w:w="75" w:type="dxa"/>
            <w:tcBorders/>
            <w:vAlign w:val="center"/>
          </w:tcPr>
          <w:p>
            <w:pPr>
              <w:pStyle w:val="TableContents"/>
              <w:bidi w:val="0"/>
              <w:spacing w:before="0" w:after="0"/>
              <w:jc w:val="left"/>
              <w:rPr>
                <w:spacing w:val="0"/>
              </w:rPr>
            </w:pPr>
            <w:r>
              <w:rPr>
                <w:spacing w:val="0"/>
              </w:rPr>
              <w:t> </w:t>
            </w:r>
          </w:p>
        </w:tc>
      </w:tr>
      <w:tr>
        <w:trPr/>
        <w:tc>
          <w:tcPr>
            <w:tcW w:w="27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27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 outstanding</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210,000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210,000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AstraZeneca warrant</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2,702,703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1,744,991</w:t>
            </w:r>
          </w:p>
        </w:tc>
        <w:tc>
          <w:tcPr>
            <w:tcW w:w="75" w:type="dxa"/>
            <w:tcBorders/>
            <w:vAlign w:val="center"/>
          </w:tcPr>
          <w:p>
            <w:pPr>
              <w:pStyle w:val="TableContents"/>
              <w:bidi w:val="0"/>
              <w:spacing w:before="0" w:after="0"/>
              <w:jc w:val="left"/>
              <w:rPr>
                <w:spacing w:val="0"/>
              </w:rPr>
            </w:pPr>
            <w:r>
              <w:rPr>
                <w:spacing w:val="0"/>
              </w:rPr>
              <w:t> </w:t>
            </w:r>
          </w:p>
        </w:tc>
      </w:tr>
      <w:tr>
        <w:trPr/>
        <w:tc>
          <w:tcPr>
            <w:tcW w:w="27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Mpirik holdback liability</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8,724</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SEngine holdback liability</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41,007</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Sengine contingent consideration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35,000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Unvested RSUs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6,683,129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7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potentially dilutive shares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9,671,839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1,963,715</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disclosed in Note 10, the RSUs issued under the 2015 Plan include a triggering liquidation performance condition prior to vesting. As such, as of June 30, 2023, these are treated as contingently issuable shares and are excluded from potentially dilutive shares as the liquidation performance condition was not yet satisfied. As the liquidation performance condition was satisfied upon completion of the IPO, as of June 30, 2024, these shares are included in potentially dilutive shares.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disclosed in Note 11, contingent upon certain financing events, the Amended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disclosed in Note 9, the Company’s Series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G-3</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Preferred, Series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G-4</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Preferred and Series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G-5</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Preferred contain embedded conversion features resulted in the issuance of additional shares of Class A common stock upon completion of the IPO. The number of shares issued related to these features was dependent upon the IPO price. As such, prior to the IPO, these are treated as contingently issuable shares. Subsequent to the completion of the IPO in June 2024, the additional shares of Class A common stock are included in the weighted-average common shares outstanding. </w:t>
      </w:r>
    </w:p>
    <w:p>
      <w:pPr>
        <w:pStyle w:val="TextBody"/>
        <w:bidi w:val="0"/>
        <w:spacing w:before="0" w:after="0"/>
        <w:jc w:val="left"/>
        <w:rPr>
          <w:shd w:fill="FFFFFF" w:val="clear"/>
        </w:rPr>
      </w:pPr>
      <w:r>
        <w:rPr>
          <w:shd w:fill="FFFFFF" w:val="clear"/>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0"/>
              <w:jc w:val="left"/>
              <w:rPr>
                <w:b/>
                <w:spacing w:val="0"/>
              </w:rPr>
            </w:pPr>
            <w:r>
              <w:rPr>
                <w:b/>
                <w:spacing w:val="0"/>
              </w:rPr>
              <w:t>13.</w:t>
            </w:r>
          </w:p>
        </w:tc>
        <w:tc>
          <w:tcPr>
            <w:tcW w:w="1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2</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Income tax expense (benefit) for the three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and si</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x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months ended June 30, 2024 and 2023 is less than $0.2 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Due to the Company’s history of losses in the United States, a full valuation allowance on all of the Company’s deferred tax assets, including net operating loss carryforwards and other book versus tax differences, was maintained. </w:t>
      </w:r>
    </w:p>
    <w:p>
      <w:pPr>
        <w:pStyle w:val="TextBody"/>
        <w:bidi w:val="0"/>
        <w:spacing w:before="0" w:after="0"/>
        <w:jc w:val="left"/>
        <w:rPr>
          <w:shd w:fill="FFFFFF" w:val="clear"/>
        </w:rPr>
      </w:pPr>
      <w:r>
        <w:rPr>
          <w:shd w:fill="FFFFFF" w:val="clear"/>
        </w:rPr>
        <w:t> </w:t>
      </w:r>
    </w:p>
    <w:tbl>
      <w:tblPr>
        <w:tblW w:w="3295" w:type="dxa"/>
        <w:jc w:val="left"/>
        <w:tblInd w:w="0" w:type="dxa"/>
        <w:tblLayout w:type="fixed"/>
        <w:tblCellMar>
          <w:top w:w="0" w:type="dxa"/>
          <w:left w:w="0" w:type="dxa"/>
          <w:bottom w:w="0" w:type="dxa"/>
          <w:right w:w="0" w:type="dxa"/>
        </w:tblCellMar>
      </w:tblPr>
      <w:tblGrid>
        <w:gridCol w:w="335"/>
        <w:gridCol w:w="2960"/>
      </w:tblGrid>
      <w:tr>
        <w:trPr/>
        <w:tc>
          <w:tcPr>
            <w:tcW w:w="335" w:type="dxa"/>
            <w:tcBorders/>
            <w:vAlign w:val="center"/>
          </w:tcPr>
          <w:p>
            <w:pPr>
              <w:pStyle w:val="TableContents"/>
              <w:bidi w:val="0"/>
              <w:spacing w:before="0" w:after="0"/>
              <w:jc w:val="left"/>
              <w:rPr>
                <w:b/>
                <w:spacing w:val="0"/>
              </w:rPr>
            </w:pPr>
            <w:r>
              <w:rPr>
                <w:b/>
                <w:spacing w:val="0"/>
              </w:rPr>
              <w:t>14.</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valuation methodologies used for the Company’s assets and liabilities measured at fair value and their classification in the valuation hierarchy are summarized below: </w:t>
      </w:r>
    </w:p>
    <w:p>
      <w:pPr>
        <w:pStyle w:val="TextBody"/>
        <w:bidi w:val="0"/>
        <w:spacing w:before="120" w:after="0"/>
        <w:ind w:left="0" w:right="0" w:hanging="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Marketable equity securities</w:t>
      </w:r>
    </w:p>
    <w:p>
      <w:pPr>
        <w:pStyle w:val="TextBody"/>
        <w:bidi w:val="0"/>
        <w:spacing w:before="120" w:after="0"/>
        <w:jc w:val="left"/>
        <w:rPr>
          <w:spacing w:val="0"/>
          <w:shd w:fill="FFFFFF" w:val="clear"/>
        </w:rPr>
      </w:pPr>
      <w:r>
        <w:rPr>
          <w:spacing w:val="0"/>
          <w:shd w:fill="FFFFFF" w:val="clear"/>
        </w:rPr>
        <w:t>—</w:t>
      </w:r>
      <w:r>
        <w:rPr>
          <w:rFonts w:ascii="Times New Roman" w:hAnsi="Times New Roman"/>
          <w:spacing w:val="0"/>
          <w:sz w:val="20"/>
          <w:shd w:fill="FFFFFF" w:val="clear"/>
        </w:rPr>
        <w:t xml:space="preserve">The Company holds marketable equity securities, that are all publicly traded shares of Recursion Pharmaceuticals, Inc. (“Recursion”) Class A common stock, which have quoted prices in active markets and are classified as short-term. The securities are measured at fair value each reporting period. The Company classifies the marketable equity securities as Level 1 as they are valued using quoted market prices at each reporting period.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During the three months ended June 30, 2024, the Company did not sell any shares of Recursion Class A common stock. During the six months ended June 30, 2024, the Company sold 1,725,902 shares of Recursion Class A common stock at a weighted average price of $13.38 for $23.1 million. Changes in fair value are recorded in earnings within other (expense) income, net on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condensed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consolidated statement of operations and comprehensive loss.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following summarizes the portion of unrealized gains recorded during the three and six months ended June 30, 2024 that relate to marketable securities held as of June 30, 2024 (in thousands): </w:t>
      </w:r>
    </w:p>
    <w:p>
      <w:pPr>
        <w:pStyle w:val="TextBody"/>
        <w:bidi w:val="0"/>
        <w:spacing w:before="0" w:after="0"/>
        <w:ind w:left="0" w:right="0" w:hanging="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5640"/>
        <w:gridCol w:w="60"/>
        <w:gridCol w:w="399"/>
        <w:gridCol w:w="1811"/>
        <w:gridCol w:w="155"/>
        <w:gridCol w:w="60"/>
        <w:gridCol w:w="345"/>
        <w:gridCol w:w="1565"/>
        <w:gridCol w:w="170"/>
      </w:tblGrid>
      <w:tr>
        <w:trPr/>
        <w:tc>
          <w:tcPr>
            <w:tcW w:w="5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4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10" w:type="dxa"/>
            <w:gridSpan w:val="2"/>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0"/>
              <w:jc w:val="left"/>
              <w:rPr>
                <w:spacing w:val="0"/>
              </w:rPr>
            </w:pPr>
            <w:r>
              <w:rPr>
                <w:spacing w:val="0"/>
              </w:rPr>
              <w:t> </w:t>
            </w:r>
          </w:p>
        </w:tc>
      </w:tr>
      <w:tr>
        <w:trPr/>
        <w:tc>
          <w:tcPr>
            <w:tcW w:w="564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0" w:type="dxa"/>
            <w:gridSpan w:val="2"/>
            <w:tcBorders/>
            <w:vAlign w:val="center"/>
          </w:tcPr>
          <w:p>
            <w:pPr>
              <w:pStyle w:val="TableContents"/>
              <w:bidi w:val="0"/>
              <w:spacing w:before="0" w:after="0"/>
              <w:jc w:val="center"/>
              <w:rPr>
                <w:b/>
                <w:spacing w:val="0"/>
              </w:rPr>
            </w:pPr>
            <w:r>
              <w:rPr>
                <w:b/>
                <w:spacing w:val="0"/>
              </w:rPr>
              <w:t>June 30, 2024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10" w:type="dxa"/>
            <w:gridSpan w:val="2"/>
            <w:tcBorders/>
            <w:vAlign w:val="center"/>
          </w:tcPr>
          <w:p>
            <w:pPr>
              <w:pStyle w:val="TableContents"/>
              <w:bidi w:val="0"/>
              <w:spacing w:before="0" w:after="0"/>
              <w:jc w:val="center"/>
              <w:rPr>
                <w:b/>
                <w:spacing w:val="0"/>
              </w:rPr>
            </w:pPr>
            <w:r>
              <w:rPr>
                <w:b/>
                <w:spacing w:val="0"/>
              </w:rPr>
              <w:t>June 30, 2024</w:t>
            </w:r>
          </w:p>
        </w:tc>
        <w:tc>
          <w:tcPr>
            <w:tcW w:w="170" w:type="dxa"/>
            <w:tcBorders/>
            <w:vAlign w:val="center"/>
          </w:tcPr>
          <w:p>
            <w:pPr>
              <w:pStyle w:val="TableContents"/>
              <w:bidi w:val="0"/>
              <w:spacing w:before="0" w:after="0"/>
              <w:jc w:val="left"/>
              <w:rPr>
                <w:spacing w:val="0"/>
              </w:rPr>
            </w:pPr>
            <w:r>
              <w:rPr>
                <w:spacing w:val="0"/>
              </w:rPr>
              <w:t> </w:t>
            </w:r>
          </w:p>
        </w:tc>
      </w:tr>
      <w:tr>
        <w:trPr/>
        <w:tc>
          <w:tcPr>
            <w:tcW w:w="5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gain during the period on marketable equity securities</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99" w:type="dxa"/>
            <w:tcBorders/>
            <w:shd w:fill="CCEEFF" w:val="clear"/>
            <w:vAlign w:val="center"/>
          </w:tcPr>
          <w:p>
            <w:pPr>
              <w:pStyle w:val="TableContents"/>
              <w:bidi w:val="0"/>
              <w:spacing w:before="0" w:after="0"/>
              <w:jc w:val="left"/>
              <w:rPr>
                <w:spacing w:val="0"/>
              </w:rPr>
            </w:pPr>
            <w:r>
              <w:rPr>
                <w:spacing w:val="0"/>
              </w:rPr>
              <w:t>$</w:t>
            </w:r>
          </w:p>
        </w:tc>
        <w:tc>
          <w:tcPr>
            <w:tcW w:w="1811" w:type="dxa"/>
            <w:tcBorders/>
            <w:shd w:fill="CCEEFF" w:val="clear"/>
            <w:vAlign w:val="center"/>
          </w:tcPr>
          <w:p>
            <w:pPr>
              <w:pStyle w:val="TableContents"/>
              <w:bidi w:val="0"/>
              <w:spacing w:before="0" w:after="0"/>
              <w:jc w:val="right"/>
              <w:rPr>
                <w:spacing w:val="0"/>
              </w:rPr>
            </w:pPr>
            <w:r>
              <w:rPr>
                <w:spacing w:val="0"/>
              </w:rPr>
              <w:t>(3,705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45" w:type="dxa"/>
            <w:tcBorders/>
            <w:shd w:fill="CCEEFF" w:val="clear"/>
            <w:vAlign w:val="center"/>
          </w:tcPr>
          <w:p>
            <w:pPr>
              <w:pStyle w:val="TableContents"/>
              <w:bidi w:val="0"/>
              <w:spacing w:before="0" w:after="0"/>
              <w:jc w:val="left"/>
              <w:rPr>
                <w:spacing w:val="0"/>
              </w:rPr>
            </w:pPr>
            <w:r>
              <w:rPr>
                <w:spacing w:val="0"/>
              </w:rPr>
              <w:t>$</w:t>
            </w:r>
          </w:p>
        </w:tc>
        <w:tc>
          <w:tcPr>
            <w:tcW w:w="1565" w:type="dxa"/>
            <w:tcBorders/>
            <w:shd w:fill="CCEEFF" w:val="clear"/>
            <w:vAlign w:val="center"/>
          </w:tcPr>
          <w:p>
            <w:pPr>
              <w:pStyle w:val="TableContents"/>
              <w:bidi w:val="0"/>
              <w:spacing w:before="0" w:after="0"/>
              <w:jc w:val="right"/>
              <w:rPr>
                <w:spacing w:val="0"/>
              </w:rPr>
            </w:pPr>
            <w:r>
              <w:rPr>
                <w:spacing w:val="0"/>
              </w:rPr>
              <w:t>2,541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Net gain recognized during the period on marketable equity securities sold during the period</w:t>
            </w:r>
          </w:p>
        </w:tc>
        <w:tc>
          <w:tcPr>
            <w:tcW w:w="60" w:type="dxa"/>
            <w:tcBorders/>
            <w:vAlign w:val="center"/>
          </w:tcPr>
          <w:p>
            <w:pPr>
              <w:pStyle w:val="TableContents"/>
              <w:bidi w:val="0"/>
              <w:spacing w:before="0" w:after="0"/>
              <w:jc w:val="left"/>
              <w:rPr>
                <w:spacing w:val="0"/>
              </w:rPr>
            </w:pPr>
            <w:r>
              <w:rPr>
                <w:spacing w:val="0"/>
              </w:rPr>
              <w:t> </w:t>
            </w:r>
          </w:p>
        </w:tc>
        <w:tc>
          <w:tcPr>
            <w:tcW w:w="399" w:type="dxa"/>
            <w:tcBorders/>
            <w:vAlign w:val="center"/>
          </w:tcPr>
          <w:p>
            <w:pPr>
              <w:pStyle w:val="TableContents"/>
              <w:bidi w:val="0"/>
              <w:spacing w:before="0" w:after="0"/>
              <w:jc w:val="left"/>
              <w:rPr>
                <w:spacing w:val="0"/>
              </w:rPr>
            </w:pPr>
            <w:r>
              <w:rPr>
                <w:spacing w:val="0"/>
              </w:rPr>
              <w:t> </w:t>
            </w:r>
          </w:p>
        </w:tc>
        <w:tc>
          <w:tcPr>
            <w:tcW w:w="1811"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45" w:type="dxa"/>
            <w:tcBorders/>
            <w:vAlign w:val="center"/>
          </w:tcPr>
          <w:p>
            <w:pPr>
              <w:pStyle w:val="TableContents"/>
              <w:bidi w:val="0"/>
              <w:spacing w:before="0" w:after="0"/>
              <w:jc w:val="left"/>
              <w:rPr>
                <w:spacing w:val="0"/>
              </w:rPr>
            </w:pPr>
            <w:r>
              <w:rPr>
                <w:spacing w:val="0"/>
              </w:rPr>
              <w:t> </w:t>
            </w:r>
          </w:p>
        </w:tc>
        <w:tc>
          <w:tcPr>
            <w:tcW w:w="1565" w:type="dxa"/>
            <w:tcBorders/>
            <w:vAlign w:val="center"/>
          </w:tcPr>
          <w:p>
            <w:pPr>
              <w:pStyle w:val="TableContents"/>
              <w:bidi w:val="0"/>
              <w:spacing w:before="0" w:after="0"/>
              <w:jc w:val="right"/>
              <w:rPr>
                <w:spacing w:val="0"/>
              </w:rPr>
            </w:pPr>
            <w:r>
              <w:rPr>
                <w:spacing w:val="0"/>
              </w:rPr>
              <w:t>(6,081</w:t>
            </w:r>
          </w:p>
        </w:tc>
        <w:tc>
          <w:tcPr>
            <w:tcW w:w="170" w:type="dxa"/>
            <w:tcBorders/>
            <w:vAlign w:val="center"/>
          </w:tcPr>
          <w:p>
            <w:pPr>
              <w:pStyle w:val="TableContents"/>
              <w:bidi w:val="0"/>
              <w:spacing w:before="0" w:after="0"/>
              <w:jc w:val="left"/>
              <w:rPr>
                <w:spacing w:val="0"/>
              </w:rPr>
            </w:pPr>
            <w:r>
              <w:rPr>
                <w:spacing w:val="0"/>
              </w:rPr>
              <w:t>) </w:t>
            </w:r>
          </w:p>
        </w:tc>
      </w:tr>
      <w:tr>
        <w:trPr/>
        <w:tc>
          <w:tcPr>
            <w:tcW w:w="5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3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5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gain recognized during the period on marketable equity securities still held at the reporting date</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99" w:type="dxa"/>
            <w:tcBorders/>
            <w:shd w:fill="CCEEFF" w:val="clear"/>
            <w:vAlign w:val="center"/>
          </w:tcPr>
          <w:p>
            <w:pPr>
              <w:pStyle w:val="TableContents"/>
              <w:bidi w:val="0"/>
              <w:spacing w:before="0" w:after="0"/>
              <w:jc w:val="left"/>
              <w:rPr>
                <w:spacing w:val="0"/>
              </w:rPr>
            </w:pPr>
            <w:r>
              <w:rPr>
                <w:spacing w:val="0"/>
              </w:rPr>
              <w:t>$</w:t>
            </w:r>
          </w:p>
        </w:tc>
        <w:tc>
          <w:tcPr>
            <w:tcW w:w="1811" w:type="dxa"/>
            <w:tcBorders/>
            <w:shd w:fill="CCEEFF" w:val="clear"/>
            <w:vAlign w:val="center"/>
          </w:tcPr>
          <w:p>
            <w:pPr>
              <w:pStyle w:val="TableContents"/>
              <w:bidi w:val="0"/>
              <w:spacing w:before="0" w:after="0"/>
              <w:jc w:val="right"/>
              <w:rPr>
                <w:spacing w:val="0"/>
              </w:rPr>
            </w:pPr>
            <w:r>
              <w:rPr>
                <w:spacing w:val="0"/>
              </w:rPr>
              <w:t>(3,705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45" w:type="dxa"/>
            <w:tcBorders/>
            <w:shd w:fill="CCEEFF" w:val="clear"/>
            <w:vAlign w:val="center"/>
          </w:tcPr>
          <w:p>
            <w:pPr>
              <w:pStyle w:val="TableContents"/>
              <w:bidi w:val="0"/>
              <w:spacing w:before="0" w:after="0"/>
              <w:jc w:val="left"/>
              <w:rPr>
                <w:spacing w:val="0"/>
              </w:rPr>
            </w:pPr>
            <w:r>
              <w:rPr>
                <w:spacing w:val="0"/>
              </w:rPr>
              <w:t>$</w:t>
            </w:r>
          </w:p>
        </w:tc>
        <w:tc>
          <w:tcPr>
            <w:tcW w:w="1565" w:type="dxa"/>
            <w:tcBorders/>
            <w:shd w:fill="CCEEFF" w:val="clear"/>
            <w:vAlign w:val="center"/>
          </w:tcPr>
          <w:p>
            <w:pPr>
              <w:pStyle w:val="TableContents"/>
              <w:bidi w:val="0"/>
              <w:spacing w:before="0" w:after="0"/>
              <w:jc w:val="right"/>
              <w:rPr>
                <w:spacing w:val="0"/>
              </w:rPr>
            </w:pPr>
            <w:r>
              <w:rPr>
                <w:spacing w:val="0"/>
              </w:rPr>
              <w:t>(3,540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3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120" w:after="0"/>
        <w:ind w:left="0" w:right="0" w:hanging="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Contingent consideration</w:t>
      </w:r>
    </w:p>
    <w:p>
      <w:pPr>
        <w:pStyle w:val="TextBody"/>
        <w:bidi w:val="0"/>
        <w:spacing w:before="120" w:after="0"/>
        <w:jc w:val="left"/>
        <w:rPr>
          <w:spacing w:val="0"/>
          <w:shd w:fill="FFFFFF" w:val="clear"/>
        </w:rPr>
      </w:pPr>
      <w:r>
        <w:rPr>
          <w:spacing w:val="0"/>
          <w:shd w:fill="FFFFFF" w:val="clear"/>
        </w:rPr>
        <w:t>—</w:t>
      </w:r>
      <w:r>
        <w:rPr>
          <w:rFonts w:ascii="Times New Roman" w:hAnsi="Times New Roman"/>
          <w:spacing w:val="0"/>
          <w:sz w:val="20"/>
          <w:shd w:fill="FFFFFF" w:val="clear"/>
        </w:rPr>
        <w:t xml:space="preserve">The Company was subject to a contingent consideration arrangement to make a cash payment in an aggregate value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w:t>
      </w:r>
    </w:p>
    <w:p>
      <w:pPr>
        <w:pStyle w:val="TextBody"/>
        <w:bidi w:val="0"/>
        <w:spacing w:before="120" w:after="0"/>
        <w:jc w:val="left"/>
        <w:rPr>
          <w:spacing w:val="0"/>
          <w:shd w:fill="FFFFFF" w:val="clear"/>
        </w:rPr>
      </w:pPr>
      <w:r>
        <w:rPr>
          <w:spacing w:val="0"/>
          <w:shd w:fill="FFFFFF" w:val="clear"/>
        </w:rPr>
        <w:t> </w:t>
      </w:r>
      <w:r>
        <w:rPr>
          <w:rFonts w:ascii="Times New Roman" w:hAnsi="Times New Roman"/>
          <w:spacing w:val="0"/>
          <w:sz w:val="20"/>
          <w:shd w:fill="FFFFFF" w:val="clear"/>
        </w:rPr>
        <w:t>million, contingent upon Mpirik reaching a revenue target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1.5</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for the twelve-month period ended December 31, 2023. See Note 4, Business Combinations, for further discussion of that acquisition.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is also subject to a contingent consideration arrangement of 35,000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additional shares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common stock in connection with the SEngine acquisition, the amount of which is determined based on the per share price of the Company’s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non-voting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common stock in a liquidity event completed prior to December 31, 2027. The contingent consideration has an acquisition fair value date of</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$0.8 million. See Note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Business Combinations for further discussion of that acquisition.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condensed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consolidated statements of operations and comprehensive loss. The Company used a risk-neutral simulation model and option pricing framework to value the contingent consideration. Prior to the IPO, the Company classified the contingent consideration liabilities as Level 3 due to the lack of relevant observable market data over fair value inputs such as probability-weighting of payment outcomes. Subsequent to the IPO completed in June 2024, the Company classified the contingent consideration arrangement of up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to 35,000 additional shares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common stock as Level 1 as the shares are valued using a quoted market price. </w:t>
      </w:r>
    </w:p>
    <w:p>
      <w:pPr>
        <w:pStyle w:val="TextBody"/>
        <w:bidi w:val="0"/>
        <w:spacing w:before="120" w:after="0"/>
        <w:ind w:left="0" w:right="0" w:hanging="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Warrant asset</w:t>
      </w:r>
    </w:p>
    <w:p>
      <w:pPr>
        <w:pStyle w:val="TextBody"/>
        <w:bidi w:val="0"/>
        <w:spacing w:before="120" w:after="0"/>
        <w:jc w:val="left"/>
        <w:rPr>
          <w:spacing w:val="0"/>
          <w:shd w:fill="FFFFFF" w:val="clear"/>
        </w:rPr>
      </w:pPr>
      <w:r>
        <w:rPr>
          <w:spacing w:val="0"/>
          <w:shd w:fill="FFFFFF" w:val="clear"/>
        </w:rPr>
        <w:t>—</w:t>
      </w:r>
      <w:r>
        <w:rPr>
          <w:rFonts w:ascii="Times New Roman" w:hAnsi="Times New Roman"/>
          <w:spacing w:val="0"/>
          <w:sz w:val="20"/>
          <w:shd w:fill="FFFFFF" w:val="clear"/>
        </w:rPr>
        <w:t>As discussed in Note</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3, the Company received warrants from Personalis. The warrant assets are measured at fair value each reporting period using a Black-Scholes option pricing model, which takes into consideration the price and volatility of Personalis Class A common stock. The Company classifies the warrant asset as Level 2 as they are valued using observable market prices of Personalis Class A common stock.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2</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Warrant liability</w:t>
      </w:r>
    </w:p>
    <w:p>
      <w:pPr>
        <w:pStyle w:val="TextBody"/>
        <w:bidi w:val="0"/>
        <w:spacing w:before="0" w:after="0"/>
        <w:jc w:val="left"/>
        <w:rPr>
          <w:shd w:fill="FFFFFF" w:val="clear"/>
        </w:rPr>
      </w:pPr>
      <w:r>
        <w:rPr>
          <w:shd w:fill="FFFFFF" w:val="clear"/>
        </w:rPr>
        <w:t>—</w:t>
      </w:r>
      <w:r>
        <w:rPr>
          <w:rFonts w:ascii="Times New Roman" w:hAnsi="Times New Roman"/>
          <w:sz w:val="20"/>
          <w:shd w:fill="FFFFFF" w:val="clear"/>
        </w:rPr>
        <w:t>As discussed in Note 8, the Company issued a $100 million warrant to AstraZeneca. The warrant liability is measured at fair value each reporting period, using a Black-Scholes option pricing model.</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The following table summarizes the assumptions used in the model as of June 30, 2024:</w:t>
      </w:r>
    </w:p>
    <w:p>
      <w:pPr>
        <w:pStyle w:val="TextBody"/>
        <w:bidi w:val="0"/>
        <w:spacing w:before="0" w:after="0"/>
        <w:ind w:left="0" w:right="0" w:hanging="0"/>
        <w:jc w:val="left"/>
        <w:rPr>
          <w:sz w:val="24"/>
        </w:rPr>
      </w:pPr>
      <w:r>
        <w:rPr>
          <w:sz w:val="24"/>
        </w:rPr>
      </w:r>
    </w:p>
    <w:tbl>
      <w:tblPr>
        <w:tblW w:w="3075" w:type="dxa"/>
        <w:jc w:val="left"/>
        <w:tblInd w:w="0" w:type="dxa"/>
        <w:tblLayout w:type="fixed"/>
        <w:tblCellMar>
          <w:top w:w="0" w:type="dxa"/>
          <w:left w:w="0" w:type="dxa"/>
          <w:bottom w:w="0" w:type="dxa"/>
          <w:right w:w="0" w:type="dxa"/>
        </w:tblCellMar>
      </w:tblPr>
      <w:tblGrid>
        <w:gridCol w:w="2045"/>
        <w:gridCol w:w="120"/>
        <w:gridCol w:w="60"/>
        <w:gridCol w:w="560"/>
        <w:gridCol w:w="290"/>
      </w:tblGrid>
      <w:tr>
        <w:trPr/>
        <w:tc>
          <w:tcPr>
            <w:tcW w:w="2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(in years)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spacing w:val="0"/>
              </w:rPr>
            </w:pPr>
            <w:r>
              <w:rPr>
                <w:spacing w:val="0"/>
              </w:rPr>
              <w:t>2.50</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2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560" w:type="dxa"/>
            <w:tcBorders/>
            <w:vAlign w:val="center"/>
          </w:tcPr>
          <w:p>
            <w:pPr>
              <w:pStyle w:val="TableContents"/>
              <w:bidi w:val="0"/>
              <w:spacing w:before="0" w:after="0"/>
              <w:jc w:val="right"/>
              <w:rPr>
                <w:spacing w:val="0"/>
              </w:rPr>
            </w:pPr>
            <w:r>
              <w:rPr>
                <w:spacing w:val="0"/>
              </w:rPr>
              <w:t>4.51</w:t>
            </w:r>
          </w:p>
        </w:tc>
        <w:tc>
          <w:tcPr>
            <w:tcW w:w="290" w:type="dxa"/>
            <w:tcBorders/>
            <w:vAlign w:val="center"/>
          </w:tcPr>
          <w:p>
            <w:pPr>
              <w:pStyle w:val="TableContents"/>
              <w:bidi w:val="0"/>
              <w:spacing w:before="0" w:after="0"/>
              <w:jc w:val="left"/>
              <w:rPr>
                <w:spacing w:val="0"/>
              </w:rPr>
            </w:pPr>
            <w:r>
              <w:rPr>
                <w:spacing w:val="0"/>
              </w:rPr>
              <w:t>% </w:t>
            </w:r>
          </w:p>
        </w:tc>
      </w:tr>
      <w:tr>
        <w:trPr/>
        <w:tc>
          <w:tcPr>
            <w:tcW w:w="2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spacing w:val="0"/>
              </w:rPr>
            </w:pPr>
            <w:r>
              <w:rPr>
                <w:spacing w:val="0"/>
              </w:rPr>
              <w:t>55.00</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2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560" w:type="dxa"/>
            <w:tcBorders/>
            <w:vAlign w:val="center"/>
          </w:tcPr>
          <w:p>
            <w:pPr>
              <w:pStyle w:val="TableContents"/>
              <w:bidi w:val="0"/>
              <w:spacing w:before="0" w:after="0"/>
              <w:jc w:val="right"/>
              <w:rPr>
                <w:spacing w:val="0"/>
              </w:rPr>
            </w:pPr>
            <w:r>
              <w:rPr>
                <w:spacing w:val="0"/>
              </w:rPr>
              <w:t>0.00</w:t>
            </w:r>
          </w:p>
        </w:tc>
        <w:tc>
          <w:tcPr>
            <w:tcW w:w="290"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classifies the warrant liability as Level 3 due to the lack of relevant observable market data over fair value inputs such as the expected term.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Term Loan Facility and the Note were not recorded at fair value. The fair values of the Term Loan Facility and the Note approximated their carrying values as of June 30, 2024 and December 31, 2023. Estimates of the fair values of the Term Loan Facility and the Note are classified as Level 3 due to the lack of relevant observable market data over fair value inputs.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following tables summarize assets and liabilities that are measured at fair value on a recurring basis as of June 30, 2024 and December 31, 2023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330"/>
        <w:gridCol w:w="120"/>
        <w:gridCol w:w="332"/>
        <w:gridCol w:w="1623"/>
        <w:gridCol w:w="60"/>
        <w:gridCol w:w="120"/>
        <w:gridCol w:w="315"/>
        <w:gridCol w:w="1535"/>
        <w:gridCol w:w="108"/>
        <w:gridCol w:w="217"/>
        <w:gridCol w:w="323"/>
        <w:gridCol w:w="1572"/>
        <w:gridCol w:w="108"/>
        <w:gridCol w:w="217"/>
        <w:gridCol w:w="365"/>
        <w:gridCol w:w="1785"/>
        <w:gridCol w:w="75"/>
      </w:tblGrid>
      <w:tr>
        <w:trPr/>
        <w:tc>
          <w:tcPr>
            <w:tcW w:w="1330"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332" w:type="dxa"/>
            <w:tcBorders/>
            <w:vAlign w:val="center"/>
          </w:tcPr>
          <w:p>
            <w:pPr>
              <w:pStyle w:val="TableContents"/>
              <w:bidi w:val="0"/>
              <w:spacing w:lineRule="atLeast" w:line="142" w:before="0" w:after="0"/>
              <w:jc w:val="left"/>
              <w:rPr>
                <w:spacing w:val="0"/>
              </w:rPr>
            </w:pPr>
            <w:r>
              <w:rPr>
                <w:spacing w:val="0"/>
              </w:rPr>
              <w:t> </w:t>
            </w:r>
          </w:p>
        </w:tc>
        <w:tc>
          <w:tcPr>
            <w:tcW w:w="1623" w:type="dxa"/>
            <w:tcBorders/>
            <w:vAlign w:val="center"/>
          </w:tcPr>
          <w:p>
            <w:pPr>
              <w:pStyle w:val="TableContents"/>
              <w:bidi w:val="0"/>
              <w:spacing w:lineRule="atLeast" w:line="142" w:before="0" w:after="0"/>
              <w:jc w:val="left"/>
              <w:rPr>
                <w:spacing w:val="0"/>
              </w:rPr>
            </w:pPr>
            <w:r>
              <w:rPr>
                <w:spacing w:val="0"/>
              </w:rPr>
              <w:t> </w:t>
            </w:r>
          </w:p>
        </w:tc>
        <w:tc>
          <w:tcPr>
            <w:tcW w:w="60" w:type="dxa"/>
            <w:tcBorders/>
            <w:vAlign w:val="center"/>
          </w:tcPr>
          <w:p>
            <w:pPr>
              <w:pStyle w:val="TableContents"/>
              <w:bidi w:val="0"/>
              <w:spacing w:lineRule="atLeast" w:line="142" w:before="0" w:after="0"/>
              <w:jc w:val="left"/>
              <w:rPr>
                <w:spacing w:val="0"/>
              </w:rPr>
            </w:pPr>
            <w:r>
              <w:rPr>
                <w:spacing w:val="0"/>
              </w:rPr>
              <w:t> </w:t>
            </w:r>
          </w:p>
        </w:tc>
        <w:tc>
          <w:tcPr>
            <w:tcW w:w="120" w:type="dxa"/>
            <w:tcBorders/>
            <w:vAlign w:val="center"/>
          </w:tcPr>
          <w:p>
            <w:pPr>
              <w:pStyle w:val="TableContents"/>
              <w:bidi w:val="0"/>
              <w:spacing w:lineRule="atLeast" w:line="142" w:before="0" w:after="0"/>
              <w:jc w:val="left"/>
              <w:rPr>
                <w:spacing w:val="0"/>
              </w:rPr>
            </w:pPr>
            <w:r>
              <w:rPr>
                <w:spacing w:val="0"/>
              </w:rPr>
              <w:t> </w:t>
            </w:r>
          </w:p>
        </w:tc>
        <w:tc>
          <w:tcPr>
            <w:tcW w:w="315" w:type="dxa"/>
            <w:tcBorders/>
            <w:vAlign w:val="center"/>
          </w:tcPr>
          <w:p>
            <w:pPr>
              <w:pStyle w:val="TableContents"/>
              <w:bidi w:val="0"/>
              <w:spacing w:lineRule="atLeast" w:line="142" w:before="0" w:after="0"/>
              <w:jc w:val="left"/>
              <w:rPr>
                <w:spacing w:val="0"/>
              </w:rPr>
            </w:pPr>
            <w:r>
              <w:rPr>
                <w:spacing w:val="0"/>
              </w:rPr>
              <w:t> </w:t>
            </w:r>
          </w:p>
        </w:tc>
        <w:tc>
          <w:tcPr>
            <w:tcW w:w="1535" w:type="dxa"/>
            <w:tcBorders/>
            <w:vAlign w:val="center"/>
          </w:tcPr>
          <w:p>
            <w:pPr>
              <w:pStyle w:val="TableContents"/>
              <w:bidi w:val="0"/>
              <w:spacing w:lineRule="atLeast" w:line="142" w:before="0" w:after="0"/>
              <w:jc w:val="left"/>
              <w:rPr>
                <w:spacing w:val="0"/>
              </w:rPr>
            </w:pPr>
            <w:r>
              <w:rPr>
                <w:spacing w:val="0"/>
              </w:rPr>
              <w:t> </w:t>
            </w:r>
          </w:p>
        </w:tc>
        <w:tc>
          <w:tcPr>
            <w:tcW w:w="108" w:type="dxa"/>
            <w:tcBorders/>
            <w:vAlign w:val="center"/>
          </w:tcPr>
          <w:p>
            <w:pPr>
              <w:pStyle w:val="TableContents"/>
              <w:bidi w:val="0"/>
              <w:spacing w:lineRule="atLeast" w:line="142" w:before="0" w:after="0"/>
              <w:jc w:val="left"/>
              <w:rPr>
                <w:spacing w:val="0"/>
              </w:rPr>
            </w:pPr>
            <w:r>
              <w:rPr>
                <w:spacing w:val="0"/>
              </w:rPr>
              <w:t> </w:t>
            </w:r>
          </w:p>
        </w:tc>
        <w:tc>
          <w:tcPr>
            <w:tcW w:w="217" w:type="dxa"/>
            <w:tcBorders/>
            <w:vAlign w:val="center"/>
          </w:tcPr>
          <w:p>
            <w:pPr>
              <w:pStyle w:val="TableContents"/>
              <w:bidi w:val="0"/>
              <w:spacing w:lineRule="atLeast" w:line="142" w:before="0" w:after="0"/>
              <w:jc w:val="left"/>
              <w:rPr>
                <w:spacing w:val="0"/>
              </w:rPr>
            </w:pPr>
            <w:r>
              <w:rPr>
                <w:spacing w:val="0"/>
              </w:rPr>
              <w:t> </w:t>
            </w:r>
          </w:p>
        </w:tc>
        <w:tc>
          <w:tcPr>
            <w:tcW w:w="323" w:type="dxa"/>
            <w:tcBorders/>
            <w:vAlign w:val="center"/>
          </w:tcPr>
          <w:p>
            <w:pPr>
              <w:pStyle w:val="TableContents"/>
              <w:bidi w:val="0"/>
              <w:spacing w:lineRule="atLeast" w:line="142" w:before="0" w:after="0"/>
              <w:jc w:val="left"/>
              <w:rPr>
                <w:spacing w:val="0"/>
              </w:rPr>
            </w:pPr>
            <w:r>
              <w:rPr>
                <w:spacing w:val="0"/>
              </w:rPr>
              <w:t> </w:t>
            </w:r>
          </w:p>
        </w:tc>
        <w:tc>
          <w:tcPr>
            <w:tcW w:w="1572" w:type="dxa"/>
            <w:tcBorders/>
            <w:vAlign w:val="center"/>
          </w:tcPr>
          <w:p>
            <w:pPr>
              <w:pStyle w:val="TableContents"/>
              <w:bidi w:val="0"/>
              <w:spacing w:lineRule="atLeast" w:line="142" w:before="0" w:after="0"/>
              <w:jc w:val="left"/>
              <w:rPr>
                <w:spacing w:val="0"/>
              </w:rPr>
            </w:pPr>
            <w:r>
              <w:rPr>
                <w:spacing w:val="0"/>
              </w:rPr>
              <w:t> </w:t>
            </w:r>
          </w:p>
        </w:tc>
        <w:tc>
          <w:tcPr>
            <w:tcW w:w="108" w:type="dxa"/>
            <w:tcBorders/>
            <w:vAlign w:val="center"/>
          </w:tcPr>
          <w:p>
            <w:pPr>
              <w:pStyle w:val="TableContents"/>
              <w:bidi w:val="0"/>
              <w:spacing w:lineRule="atLeast" w:line="142" w:before="0" w:after="0"/>
              <w:jc w:val="left"/>
              <w:rPr>
                <w:spacing w:val="0"/>
              </w:rPr>
            </w:pPr>
            <w:r>
              <w:rPr>
                <w:spacing w:val="0"/>
              </w:rPr>
              <w:t> </w:t>
            </w:r>
          </w:p>
        </w:tc>
        <w:tc>
          <w:tcPr>
            <w:tcW w:w="217" w:type="dxa"/>
            <w:tcBorders/>
            <w:vAlign w:val="center"/>
          </w:tcPr>
          <w:p>
            <w:pPr>
              <w:pStyle w:val="TableContents"/>
              <w:bidi w:val="0"/>
              <w:spacing w:lineRule="atLeast" w:line="142" w:before="0" w:after="0"/>
              <w:jc w:val="left"/>
              <w:rPr>
                <w:spacing w:val="0"/>
              </w:rPr>
            </w:pPr>
            <w:r>
              <w:rPr>
                <w:spacing w:val="0"/>
              </w:rPr>
              <w:t> </w:t>
            </w:r>
          </w:p>
        </w:tc>
        <w:tc>
          <w:tcPr>
            <w:tcW w:w="365" w:type="dxa"/>
            <w:tcBorders/>
            <w:vAlign w:val="center"/>
          </w:tcPr>
          <w:p>
            <w:pPr>
              <w:pStyle w:val="TableContents"/>
              <w:bidi w:val="0"/>
              <w:spacing w:lineRule="atLeast" w:line="142" w:before="0" w:after="0"/>
              <w:jc w:val="left"/>
              <w:rPr>
                <w:spacing w:val="0"/>
              </w:rPr>
            </w:pPr>
            <w:r>
              <w:rPr>
                <w:spacing w:val="0"/>
              </w:rPr>
              <w:t> </w:t>
            </w:r>
          </w:p>
        </w:tc>
        <w:tc>
          <w:tcPr>
            <w:tcW w:w="1785" w:type="dxa"/>
            <w:tcBorders/>
            <w:vAlign w:val="center"/>
          </w:tcPr>
          <w:p>
            <w:pPr>
              <w:pStyle w:val="TableContents"/>
              <w:bidi w:val="0"/>
              <w:spacing w:lineRule="atLeast" w:line="142" w:before="0" w:after="0"/>
              <w:jc w:val="left"/>
              <w:rPr>
                <w:spacing w:val="0"/>
              </w:rPr>
            </w:pPr>
            <w:r>
              <w:rPr>
                <w:spacing w:val="0"/>
              </w:rPr>
              <w:t> </w:t>
            </w:r>
          </w:p>
        </w:tc>
        <w:tc>
          <w:tcPr>
            <w:tcW w:w="75" w:type="dxa"/>
            <w:tcBorders/>
            <w:vAlign w:val="center"/>
          </w:tcPr>
          <w:p>
            <w:pPr>
              <w:pStyle w:val="TableContents"/>
              <w:bidi w:val="0"/>
              <w:spacing w:lineRule="atLeast" w:line="142" w:before="0" w:after="0"/>
              <w:jc w:val="left"/>
              <w:rPr>
                <w:spacing w:val="0"/>
              </w:rPr>
            </w:pPr>
            <w:r>
              <w:rPr>
                <w:spacing w:val="0"/>
              </w:rPr>
              <w:t> </w:t>
            </w:r>
          </w:p>
        </w:tc>
      </w:tr>
      <w:tr>
        <w:trPr/>
        <w:tc>
          <w:tcPr>
            <w:tcW w:w="13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545" w:type="dxa"/>
            <w:gridSpan w:val="10"/>
            <w:tcBorders/>
            <w:vAlign w:val="center"/>
          </w:tcPr>
          <w:p>
            <w:pPr>
              <w:pStyle w:val="TableContents"/>
              <w:bidi w:val="0"/>
              <w:spacing w:before="0" w:after="0"/>
              <w:jc w:val="center"/>
              <w:rPr>
                <w:b/>
                <w:spacing w:val="0"/>
              </w:rPr>
            </w:pPr>
            <w:r>
              <w:rPr>
                <w:b/>
                <w:spacing w:val="0"/>
              </w:rPr>
              <w:t>Fair Value Measurement at Reporting Date Using</w:t>
            </w:r>
          </w:p>
        </w:tc>
        <w:tc>
          <w:tcPr>
            <w:tcW w:w="75" w:type="dxa"/>
            <w:tcBorders/>
            <w:vAlign w:val="center"/>
          </w:tcPr>
          <w:p>
            <w:pPr>
              <w:pStyle w:val="TableContents"/>
              <w:bidi w:val="0"/>
              <w:spacing w:before="0" w:after="0"/>
              <w:jc w:val="left"/>
              <w:rPr>
                <w:spacing w:val="0"/>
              </w:rPr>
            </w:pPr>
            <w:r>
              <w:rPr>
                <w:spacing w:val="0"/>
              </w:rPr>
              <w:t> </w:t>
            </w:r>
          </w:p>
        </w:tc>
      </w:tr>
      <w:tr>
        <w:trPr/>
        <w:tc>
          <w:tcPr>
            <w:tcW w:w="13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June 30, 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50" w:type="dxa"/>
            <w:gridSpan w:val="2"/>
            <w:tcBorders/>
            <w:vAlign w:val="center"/>
          </w:tcPr>
          <w:p>
            <w:pPr>
              <w:pStyle w:val="TableContents"/>
              <w:bidi w:val="0"/>
              <w:spacing w:before="0" w:after="0"/>
              <w:jc w:val="center"/>
              <w:rPr>
                <w:b/>
                <w:spacing w:val="0"/>
              </w:rPr>
            </w:pPr>
            <w:r>
              <w:rPr>
                <w:b/>
                <w:spacing w:val="0"/>
              </w:rPr>
              <w:t>Quoted Price in</w:t>
              <w:br/>
              <w:t>Active Market for</w:t>
              <w:br/>
              <w:t>Identical Assets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1)</w:t>
            </w:r>
          </w:p>
        </w:tc>
        <w:tc>
          <w:tcPr>
            <w:tcW w:w="108" w:type="dxa"/>
            <w:tcBorders/>
            <w:vAlign w:val="center"/>
          </w:tcPr>
          <w:p>
            <w:pPr>
              <w:pStyle w:val="TableContents"/>
              <w:bidi w:val="0"/>
              <w:spacing w:before="0" w:after="0"/>
              <w:jc w:val="left"/>
              <w:rPr>
                <w:spacing w:val="0"/>
              </w:rPr>
            </w:pPr>
            <w:r>
              <w:rPr>
                <w:spacing w:val="0"/>
              </w:rPr>
              <w:t> </w:t>
            </w:r>
          </w:p>
        </w:tc>
        <w:tc>
          <w:tcPr>
            <w:tcW w:w="217" w:type="dxa"/>
            <w:tcBorders/>
            <w:vAlign w:val="center"/>
          </w:tcPr>
          <w:p>
            <w:pPr>
              <w:pStyle w:val="TableContents"/>
              <w:bidi w:val="0"/>
              <w:spacing w:before="0" w:after="0"/>
              <w:jc w:val="left"/>
              <w:rPr>
                <w:spacing w:val="0"/>
              </w:rPr>
            </w:pPr>
            <w:r>
              <w:rPr>
                <w:spacing w:val="0"/>
              </w:rPr>
              <w:t>  </w:t>
            </w:r>
          </w:p>
        </w:tc>
        <w:tc>
          <w:tcPr>
            <w:tcW w:w="1895" w:type="dxa"/>
            <w:gridSpan w:val="2"/>
            <w:tcBorders/>
            <w:vAlign w:val="center"/>
          </w:tcPr>
          <w:p>
            <w:pPr>
              <w:pStyle w:val="TableContents"/>
              <w:bidi w:val="0"/>
              <w:spacing w:before="0" w:after="0"/>
              <w:jc w:val="center"/>
              <w:rPr>
                <w:b/>
                <w:spacing w:val="0"/>
              </w:rPr>
            </w:pPr>
            <w:r>
              <w:rPr>
                <w:b/>
                <w:spacing w:val="0"/>
              </w:rPr>
              <w:t>Significant Other</w:t>
              <w:br/>
              <w:t>Observable 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2)</w:t>
            </w:r>
          </w:p>
        </w:tc>
        <w:tc>
          <w:tcPr>
            <w:tcW w:w="108" w:type="dxa"/>
            <w:tcBorders/>
            <w:vAlign w:val="center"/>
          </w:tcPr>
          <w:p>
            <w:pPr>
              <w:pStyle w:val="TableContents"/>
              <w:bidi w:val="0"/>
              <w:spacing w:before="0" w:after="0"/>
              <w:jc w:val="left"/>
              <w:rPr>
                <w:spacing w:val="0"/>
              </w:rPr>
            </w:pPr>
            <w:r>
              <w:rPr>
                <w:spacing w:val="0"/>
              </w:rPr>
              <w:t> </w:t>
            </w:r>
          </w:p>
        </w:tc>
        <w:tc>
          <w:tcPr>
            <w:tcW w:w="217" w:type="dxa"/>
            <w:tcBorders/>
            <w:vAlign w:val="center"/>
          </w:tcPr>
          <w:p>
            <w:pPr>
              <w:pStyle w:val="TableContents"/>
              <w:bidi w:val="0"/>
              <w:spacing w:before="0" w:after="0"/>
              <w:jc w:val="left"/>
              <w:rPr>
                <w:spacing w:val="0"/>
              </w:rPr>
            </w:pPr>
            <w:r>
              <w:rPr>
                <w:spacing w:val="0"/>
              </w:rPr>
              <w:t>  </w:t>
            </w:r>
          </w:p>
        </w:tc>
        <w:tc>
          <w:tcPr>
            <w:tcW w:w="2150" w:type="dxa"/>
            <w:gridSpan w:val="2"/>
            <w:tcBorders/>
            <w:vAlign w:val="center"/>
          </w:tcPr>
          <w:p>
            <w:pPr>
              <w:pStyle w:val="TableContents"/>
              <w:bidi w:val="0"/>
              <w:spacing w:before="0" w:after="0"/>
              <w:jc w:val="center"/>
              <w:rPr>
                <w:b/>
                <w:spacing w:val="0"/>
              </w:rPr>
            </w:pPr>
            <w:r>
              <w:rPr>
                <w:b/>
                <w:spacing w:val="0"/>
              </w:rPr>
              <w:t>Significant</w:t>
              <w:br/>
              <w:t>Unobservable Inputs</w:t>
              <w:br/>
              <w:t>(Level 3)</w:t>
            </w:r>
          </w:p>
        </w:tc>
        <w:tc>
          <w:tcPr>
            <w:tcW w:w="75" w:type="dxa"/>
            <w:tcBorders/>
            <w:vAlign w:val="center"/>
          </w:tcPr>
          <w:p>
            <w:pPr>
              <w:pStyle w:val="TableContents"/>
              <w:bidi w:val="0"/>
              <w:spacing w:before="0" w:after="0"/>
              <w:jc w:val="left"/>
              <w:rPr>
                <w:spacing w:val="0"/>
              </w:rPr>
            </w:pPr>
            <w:r>
              <w:rPr>
                <w:spacing w:val="0"/>
              </w:rPr>
              <w:t> </w:t>
            </w:r>
          </w:p>
        </w:tc>
      </w:tr>
      <w:tr>
        <w:trPr/>
        <w:tc>
          <w:tcPr>
            <w:tcW w:w="1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sz w:val="4"/>
                <w:szCs w:val="4"/>
              </w:rPr>
            </w:pPr>
            <w:r>
              <w:rPr>
                <w:sz w:val="4"/>
                <w:szCs w:val="4"/>
              </w:rPr>
            </w:r>
          </w:p>
        </w:tc>
        <w:tc>
          <w:tcPr>
            <w:tcW w:w="16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c>
          <w:tcPr>
            <w:tcW w:w="178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Marketable equity securities</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w:t>
            </w:r>
          </w:p>
        </w:tc>
        <w:tc>
          <w:tcPr>
            <w:tcW w:w="1623" w:type="dxa"/>
            <w:tcBorders/>
            <w:vAlign w:val="center"/>
          </w:tcPr>
          <w:p>
            <w:pPr>
              <w:pStyle w:val="TableContents"/>
              <w:bidi w:val="0"/>
              <w:spacing w:before="0" w:after="283"/>
              <w:jc w:val="right"/>
              <w:rPr/>
            </w:pPr>
            <w:r>
              <w:rPr/>
              <w:t>11,255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11,255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w:t>
            </w:r>
          </w:p>
        </w:tc>
        <w:tc>
          <w:tcPr>
            <w:tcW w:w="1572"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w:t>
            </w:r>
          </w:p>
        </w:tc>
        <w:tc>
          <w:tcPr>
            <w:tcW w:w="178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asset</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3" w:type="dxa"/>
            <w:tcBorders/>
            <w:shd w:fill="CCEEFF" w:val="clear"/>
            <w:vAlign w:val="center"/>
          </w:tcPr>
          <w:p>
            <w:pPr>
              <w:pStyle w:val="TableContents"/>
              <w:bidi w:val="0"/>
              <w:spacing w:before="0" w:after="283"/>
              <w:jc w:val="right"/>
              <w:rPr/>
            </w:pPr>
            <w:r>
              <w:rPr/>
              <w:t>2,300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572" w:type="dxa"/>
            <w:tcBorders/>
            <w:shd w:fill="CCEEFF" w:val="clear"/>
            <w:vAlign w:val="center"/>
          </w:tcPr>
          <w:p>
            <w:pPr>
              <w:pStyle w:val="TableContents"/>
              <w:bidi w:val="0"/>
              <w:spacing w:before="0" w:after="283"/>
              <w:jc w:val="right"/>
              <w:rPr/>
            </w:pPr>
            <w:r>
              <w:rPr/>
              <w:t>2,300</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w:t>
            </w:r>
          </w:p>
        </w:tc>
        <w:tc>
          <w:tcPr>
            <w:tcW w:w="17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3" w:type="dxa"/>
            <w:tcBorders/>
            <w:shd w:fill="CCEEFF" w:val="clear"/>
            <w:vAlign w:val="center"/>
          </w:tcPr>
          <w:p>
            <w:pPr>
              <w:pStyle w:val="TableContents"/>
              <w:bidi w:val="0"/>
              <w:spacing w:before="0" w:after="283"/>
              <w:jc w:val="right"/>
              <w:rPr/>
            </w:pPr>
            <w:r>
              <w:rPr/>
              <w:t>33,600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572"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w:t>
            </w:r>
          </w:p>
        </w:tc>
        <w:tc>
          <w:tcPr>
            <w:tcW w:w="1785" w:type="dxa"/>
            <w:tcBorders/>
            <w:shd w:fill="CCEEFF" w:val="clear"/>
            <w:vAlign w:val="center"/>
          </w:tcPr>
          <w:p>
            <w:pPr>
              <w:pStyle w:val="TableContents"/>
              <w:bidi w:val="0"/>
              <w:spacing w:before="0" w:after="283"/>
              <w:jc w:val="right"/>
              <w:rPr/>
            </w:pPr>
            <w:r>
              <w:rPr/>
              <w:t>33,600</w:t>
            </w:r>
          </w:p>
        </w:tc>
        <w:tc>
          <w:tcPr>
            <w:tcW w:w="75" w:type="dxa"/>
            <w:tcBorders/>
            <w:shd w:fill="CCEEFF" w:val="clear"/>
            <w:vAlign w:val="center"/>
          </w:tcPr>
          <w:p>
            <w:pPr>
              <w:pStyle w:val="TableContents"/>
              <w:bidi w:val="0"/>
              <w:spacing w:before="0" w:after="283"/>
              <w:jc w:val="left"/>
              <w:rPr/>
            </w:pPr>
            <w:r>
              <w:rPr/>
              <w:t> </w:t>
            </w:r>
          </w:p>
        </w:tc>
      </w:tr>
      <w:tr>
        <w:trPr/>
        <w:tc>
          <w:tcPr>
            <w:tcW w:w="1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w:t>
            </w:r>
          </w:p>
        </w:tc>
        <w:tc>
          <w:tcPr>
            <w:tcW w:w="1623" w:type="dxa"/>
            <w:tcBorders/>
            <w:vAlign w:val="center"/>
          </w:tcPr>
          <w:p>
            <w:pPr>
              <w:pStyle w:val="TableContents"/>
              <w:bidi w:val="0"/>
              <w:spacing w:before="0" w:after="283"/>
              <w:jc w:val="right"/>
              <w:rPr/>
            </w:pPr>
            <w:r>
              <w:rPr/>
              <w:t>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940</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w:t>
            </w:r>
          </w:p>
        </w:tc>
        <w:tc>
          <w:tcPr>
            <w:tcW w:w="1572"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w:t>
            </w:r>
          </w:p>
        </w:tc>
        <w:tc>
          <w:tcPr>
            <w:tcW w:w="178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30" w:type="dxa"/>
            <w:tcBorders/>
            <w:vAlign w:val="center"/>
          </w:tcPr>
          <w:p>
            <w:pPr>
              <w:pStyle w:val="TableContents"/>
              <w:bidi w:val="0"/>
              <w:spacing w:before="0" w:after="283"/>
              <w:jc w:val="left"/>
              <w:rPr>
                <w:sz w:val="4"/>
                <w:szCs w:val="4"/>
              </w:rPr>
            </w:pPr>
            <w:r>
              <w:rPr>
                <w:sz w:val="4"/>
                <w:szCs w:val="4"/>
              </w:rPr>
            </w:r>
          </w:p>
        </w:tc>
        <w:tc>
          <w:tcPr>
            <w:tcW w:w="2135" w:type="dxa"/>
            <w:gridSpan w:val="4"/>
            <w:tcBorders/>
            <w:vAlign w:val="center"/>
          </w:tcPr>
          <w:p>
            <w:pPr>
              <w:pStyle w:val="TableContents"/>
              <w:bidi w:val="0"/>
              <w:spacing w:before="0" w:after="283"/>
              <w:jc w:val="left"/>
              <w:rPr>
                <w:sz w:val="4"/>
                <w:szCs w:val="4"/>
              </w:rPr>
            </w:pPr>
            <w:r>
              <w:rPr>
                <w:sz w:val="4"/>
                <w:szCs w:val="4"/>
              </w:rPr>
            </w:r>
          </w:p>
        </w:tc>
        <w:tc>
          <w:tcPr>
            <w:tcW w:w="6740" w:type="dxa"/>
            <w:gridSpan w:val="12"/>
            <w:tcBorders/>
            <w:vAlign w:val="center"/>
          </w:tcPr>
          <w:p>
            <w:pPr>
              <w:pStyle w:val="TableContents"/>
              <w:bidi w:val="0"/>
              <w:spacing w:before="0" w:after="283"/>
              <w:jc w:val="left"/>
              <w:rPr>
                <w:sz w:val="4"/>
                <w:szCs w:val="4"/>
              </w:rPr>
            </w:pPr>
            <w:r>
              <w:rPr>
                <w:sz w:val="4"/>
                <w:szCs w:val="4"/>
              </w:rPr>
            </w:r>
          </w:p>
        </w:tc>
      </w:tr>
      <w:tr>
        <w:trPr/>
        <w:tc>
          <w:tcPr>
            <w:tcW w:w="1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4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 at Reporting Date Using</w:t>
            </w:r>
          </w:p>
        </w:tc>
        <w:tc>
          <w:tcPr>
            <w:tcW w:w="75" w:type="dxa"/>
            <w:tcBorders/>
            <w:vAlign w:val="center"/>
          </w:tcPr>
          <w:p>
            <w:pPr>
              <w:pStyle w:val="TableContents"/>
              <w:bidi w:val="0"/>
              <w:spacing w:before="0" w:after="283"/>
              <w:jc w:val="left"/>
              <w:rPr/>
            </w:pPr>
            <w:r>
              <w:rPr/>
              <w:t> </w:t>
            </w:r>
          </w:p>
        </w:tc>
      </w:tr>
      <w:tr>
        <w:trPr/>
        <w:tc>
          <w:tcPr>
            <w:tcW w:w="1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 in</w:t>
              <w:br/>
              <w:t>Active Market for</w:t>
              <w:br/>
              <w:t>Identical Assets</w:t>
              <w:br/>
              <w:t>(Level 1)</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 Other</w:t>
              <w:br/>
              <w:t>Observable Inputs</w:t>
              <w:br/>
              <w:t>(Level 2)</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 Inputs</w:t>
              <w:br/>
              <w:t>(Level 3)</w:t>
            </w:r>
          </w:p>
        </w:tc>
        <w:tc>
          <w:tcPr>
            <w:tcW w:w="75" w:type="dxa"/>
            <w:tcBorders/>
            <w:vAlign w:val="center"/>
          </w:tcPr>
          <w:p>
            <w:pPr>
              <w:pStyle w:val="TableContents"/>
              <w:bidi w:val="0"/>
              <w:spacing w:before="0" w:after="283"/>
              <w:jc w:val="left"/>
              <w:rPr/>
            </w:pPr>
            <w:r>
              <w:rPr/>
              <w:t> </w:t>
            </w:r>
          </w:p>
        </w:tc>
      </w:tr>
      <w:tr>
        <w:trPr/>
        <w:tc>
          <w:tcPr>
            <w:tcW w:w="1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sz w:val="4"/>
                <w:szCs w:val="4"/>
              </w:rPr>
            </w:pPr>
            <w:r>
              <w:rPr>
                <w:sz w:val="4"/>
                <w:szCs w:val="4"/>
              </w:rPr>
            </w:r>
          </w:p>
        </w:tc>
        <w:tc>
          <w:tcPr>
            <w:tcW w:w="16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4"/>
                <w:szCs w:val="4"/>
              </w:rPr>
            </w:pPr>
            <w:r>
              <w:rPr>
                <w:sz w:val="4"/>
                <w:szCs w:val="4"/>
              </w:rPr>
            </w:r>
          </w:p>
        </w:tc>
        <w:tc>
          <w:tcPr>
            <w:tcW w:w="178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Marketable equity securities</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w:t>
            </w:r>
          </w:p>
        </w:tc>
        <w:tc>
          <w:tcPr>
            <w:tcW w:w="1623" w:type="dxa"/>
            <w:tcBorders/>
            <w:vAlign w:val="center"/>
          </w:tcPr>
          <w:p>
            <w:pPr>
              <w:pStyle w:val="TableContents"/>
              <w:bidi w:val="0"/>
              <w:spacing w:before="0" w:after="283"/>
              <w:jc w:val="right"/>
              <w:rPr/>
            </w:pPr>
            <w:r>
              <w:rPr/>
              <w:t>31,807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31,807</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w:t>
            </w:r>
          </w:p>
        </w:tc>
        <w:tc>
          <w:tcPr>
            <w:tcW w:w="1572"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w:t>
            </w:r>
          </w:p>
        </w:tc>
        <w:tc>
          <w:tcPr>
            <w:tcW w:w="178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asset</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3"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572" w:type="dxa"/>
            <w:tcBorders/>
            <w:shd w:fill="CCEEFF" w:val="clear"/>
            <w:vAlign w:val="center"/>
          </w:tcPr>
          <w:p>
            <w:pPr>
              <w:pStyle w:val="TableContents"/>
              <w:bidi w:val="0"/>
              <w:spacing w:before="0" w:after="283"/>
              <w:jc w:val="right"/>
              <w:rPr/>
            </w:pPr>
            <w:r>
              <w:rPr/>
              <w:t>10,000</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w:t>
            </w:r>
          </w:p>
        </w:tc>
        <w:tc>
          <w:tcPr>
            <w:tcW w:w="17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3" w:type="dxa"/>
            <w:tcBorders/>
            <w:shd w:fill="CCEEFF" w:val="clear"/>
            <w:vAlign w:val="center"/>
          </w:tcPr>
          <w:p>
            <w:pPr>
              <w:pStyle w:val="TableContents"/>
              <w:bidi w:val="0"/>
              <w:spacing w:before="0" w:after="283"/>
              <w:jc w:val="right"/>
              <w:rPr/>
            </w:pPr>
            <w:r>
              <w:rPr/>
              <w:t>34,500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572"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w:t>
            </w:r>
          </w:p>
        </w:tc>
        <w:tc>
          <w:tcPr>
            <w:tcW w:w="1785" w:type="dxa"/>
            <w:tcBorders/>
            <w:shd w:fill="CCEEFF" w:val="clear"/>
            <w:vAlign w:val="center"/>
          </w:tcPr>
          <w:p>
            <w:pPr>
              <w:pStyle w:val="TableContents"/>
              <w:bidi w:val="0"/>
              <w:spacing w:before="0" w:after="283"/>
              <w:jc w:val="right"/>
              <w:rPr/>
            </w:pPr>
            <w:r>
              <w:rPr/>
              <w:t>34,500</w:t>
            </w:r>
          </w:p>
        </w:tc>
        <w:tc>
          <w:tcPr>
            <w:tcW w:w="75" w:type="dxa"/>
            <w:tcBorders/>
            <w:shd w:fill="CCEEFF" w:val="clear"/>
            <w:vAlign w:val="center"/>
          </w:tcPr>
          <w:p>
            <w:pPr>
              <w:pStyle w:val="TableContents"/>
              <w:bidi w:val="0"/>
              <w:spacing w:before="0" w:after="283"/>
              <w:jc w:val="left"/>
              <w:rPr/>
            </w:pPr>
            <w:r>
              <w:rPr/>
              <w:t> </w:t>
            </w:r>
          </w:p>
        </w:tc>
      </w:tr>
      <w:tr>
        <w:trPr/>
        <w:tc>
          <w:tcPr>
            <w:tcW w:w="1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w:t>
            </w:r>
          </w:p>
        </w:tc>
        <w:tc>
          <w:tcPr>
            <w:tcW w:w="1623" w:type="dxa"/>
            <w:tcBorders/>
            <w:vAlign w:val="center"/>
          </w:tcPr>
          <w:p>
            <w:pPr>
              <w:pStyle w:val="TableContents"/>
              <w:bidi w:val="0"/>
              <w:spacing w:before="0" w:after="283"/>
              <w:jc w:val="right"/>
              <w:rPr/>
            </w:pPr>
            <w:r>
              <w:rPr/>
              <w:t>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w:t>
            </w:r>
          </w:p>
        </w:tc>
        <w:tc>
          <w:tcPr>
            <w:tcW w:w="1572"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w:t>
            </w:r>
          </w:p>
        </w:tc>
        <w:tc>
          <w:tcPr>
            <w:tcW w:w="1785" w:type="dxa"/>
            <w:tcBorders/>
            <w:vAlign w:val="center"/>
          </w:tcPr>
          <w:p>
            <w:pPr>
              <w:pStyle w:val="TableContents"/>
              <w:bidi w:val="0"/>
              <w:spacing w:before="0" w:after="283"/>
              <w:jc w:val="right"/>
              <w:rPr/>
            </w:pPr>
            <w:r>
              <w:rPr/>
              <w:t>775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z w:val="16"/>
        </w:rPr>
      </w:pPr>
      <w:r>
        <w:rPr>
          <w:sz w:val="16"/>
        </w:rPr>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2</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following tables provide a reconciliation of the beginning and ending balances for the assets and liabilities measured at fair value using significant unobservable inputs (Level 3) (in thousands): </w:t>
      </w:r>
    </w:p>
    <w:p>
      <w:pPr>
        <w:pStyle w:val="TextBody"/>
        <w:bidi w:val="0"/>
        <w:spacing w:before="0" w:after="0"/>
        <w:ind w:left="0" w:right="0" w:hanging="0"/>
        <w:jc w:val="left"/>
        <w:rPr>
          <w:spacing w:val="0"/>
          <w:shd w:fill="FFFFFF" w:val="clear"/>
        </w:rPr>
      </w:pPr>
      <w:r>
        <w:rPr>
          <w:spacing w:val="0"/>
          <w:shd w:fill="FFFFFF" w:val="clear"/>
        </w:rPr>
        <w:t> </w:t>
      </w:r>
    </w:p>
    <w:tbl>
      <w:tblPr>
        <w:tblW w:w="7720" w:type="dxa"/>
        <w:jc w:val="left"/>
        <w:tblInd w:w="0" w:type="dxa"/>
        <w:tblLayout w:type="fixed"/>
        <w:tblCellMar>
          <w:top w:w="0" w:type="dxa"/>
          <w:left w:w="0" w:type="dxa"/>
          <w:bottom w:w="0" w:type="dxa"/>
          <w:right w:w="0" w:type="dxa"/>
        </w:tblCellMar>
      </w:tblPr>
      <w:tblGrid>
        <w:gridCol w:w="3980"/>
        <w:gridCol w:w="60"/>
        <w:gridCol w:w="313"/>
        <w:gridCol w:w="1522"/>
        <w:gridCol w:w="155"/>
        <w:gridCol w:w="60"/>
        <w:gridCol w:w="343"/>
        <w:gridCol w:w="1117"/>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Warrant Liability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Contingent</w:t>
              <w:br/>
              <w:t>Consideration</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522" w:type="dxa"/>
            <w:tcBorders/>
            <w:shd w:fill="CCEEFF" w:val="clear"/>
            <w:vAlign w:val="center"/>
          </w:tcPr>
          <w:p>
            <w:pPr>
              <w:pStyle w:val="TableContents"/>
              <w:bidi w:val="0"/>
              <w:spacing w:before="0" w:after="283"/>
              <w:jc w:val="right"/>
              <w:rPr/>
            </w:pPr>
            <w:r>
              <w:rPr/>
              <w:t>34,500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117" w:type="dxa"/>
            <w:tcBorders/>
            <w:shd w:fill="CCEEFF" w:val="clear"/>
            <w:vAlign w:val="center"/>
          </w:tcPr>
          <w:p>
            <w:pPr>
              <w:pStyle w:val="TableContents"/>
              <w:bidi w:val="0"/>
              <w:spacing w:before="0" w:after="283"/>
              <w:jc w:val="right"/>
              <w:rPr/>
            </w:pPr>
            <w:r>
              <w:rPr/>
              <w:t>775</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pPr>
            <w:r>
              <w:rPr/>
              <w:t>(900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194</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 out of Level 3</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(969</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52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0"/>
              <w:jc w:val="left"/>
              <w:rPr>
                <w:bdr w:val="single" w:sz="2" w:space="1" w:color="000000"/>
              </w:rPr>
            </w:pPr>
            <w:r>
              <w:rPr>
                <w:bdr w:val="single" w:sz="2" w:space="1" w:color="000000"/>
              </w:rPr>
              <w:t> </w:t>
            </w:r>
          </w:p>
        </w:tc>
        <w:tc>
          <w:tcPr>
            <w:tcW w:w="111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June 30, 2024</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522" w:type="dxa"/>
            <w:tcBorders/>
            <w:shd w:fill="CCEEFF" w:val="clear"/>
            <w:vAlign w:val="center"/>
          </w:tcPr>
          <w:p>
            <w:pPr>
              <w:pStyle w:val="TableContents"/>
              <w:bidi w:val="0"/>
              <w:spacing w:before="0" w:after="283"/>
              <w:jc w:val="right"/>
              <w:rPr/>
            </w:pPr>
            <w:r>
              <w:rPr/>
              <w:t>33,600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11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double" w:sz="6" w:space="1" w:color="000000"/>
              </w:rPr>
            </w:pPr>
            <w:r>
              <w:rPr>
                <w:bdr w:val="double" w:sz="6" w:space="1" w:color="000000"/>
              </w:rPr>
              <w:t> </w:t>
            </w:r>
          </w:p>
        </w:tc>
        <w:tc>
          <w:tcPr>
            <w:tcW w:w="152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0"/>
              <w:jc w:val="left"/>
              <w:rPr>
                <w:bdr w:val="double" w:sz="6" w:space="1" w:color="000000"/>
              </w:rPr>
            </w:pPr>
            <w:r>
              <w:rPr>
                <w:bdr w:val="double" w:sz="6" w:space="1" w:color="000000"/>
              </w:rPr>
              <w:t> </w:t>
            </w:r>
          </w:p>
        </w:tc>
        <w:tc>
          <w:tcPr>
            <w:tcW w:w="111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shd w:fill="FFFFFF" w:val="clear"/>
        </w:rPr>
      </w:pPr>
      <w:r>
        <w:rPr>
          <w:spacing w:val="0"/>
          <w:shd w:fill="FFFFFF" w:val="clear"/>
        </w:rPr>
        <w:t> </w:t>
      </w:r>
    </w:p>
    <w:tbl>
      <w:tblPr>
        <w:tblW w:w="7760" w:type="dxa"/>
        <w:jc w:val="left"/>
        <w:tblInd w:w="0" w:type="dxa"/>
        <w:tblLayout w:type="fixed"/>
        <w:tblCellMar>
          <w:top w:w="0" w:type="dxa"/>
          <w:left w:w="0" w:type="dxa"/>
          <w:bottom w:w="0" w:type="dxa"/>
          <w:right w:w="0" w:type="dxa"/>
        </w:tblCellMar>
      </w:tblPr>
      <w:tblGrid>
        <w:gridCol w:w="4115"/>
        <w:gridCol w:w="60"/>
        <w:gridCol w:w="313"/>
        <w:gridCol w:w="1522"/>
        <w:gridCol w:w="155"/>
        <w:gridCol w:w="60"/>
        <w:gridCol w:w="393"/>
        <w:gridCol w:w="1067"/>
        <w:gridCol w:w="75"/>
      </w:tblGrid>
      <w:tr>
        <w:trPr/>
        <w:tc>
          <w:tcPr>
            <w:tcW w:w="4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rPr>
            </w:pPr>
            <w:r>
              <w:rPr>
                <w:b/>
              </w:rPr>
              <w:t>Warrant Liability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rPr>
            </w:pPr>
            <w:r>
              <w:rPr>
                <w:b/>
              </w:rPr>
              <w:t>Contingent</w:t>
              <w:br/>
              <w:t>Consideration</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522" w:type="dxa"/>
            <w:tcBorders/>
            <w:shd w:fill="CCEEFF" w:val="clear"/>
            <w:vAlign w:val="center"/>
          </w:tcPr>
          <w:p>
            <w:pPr>
              <w:pStyle w:val="TableContents"/>
              <w:bidi w:val="0"/>
              <w:spacing w:before="0" w:after="283"/>
              <w:jc w:val="right"/>
              <w:rPr/>
            </w:pPr>
            <w:r>
              <w:rPr/>
              <w:t>42,500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Contingent consideration from Mpirik acquisition</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400</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(5,700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52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Balance at </w:t>
            </w:r>
          </w:p>
          <w:p>
            <w:pPr>
              <w:pStyle w:val="TableContents"/>
              <w:bidi w:val="0"/>
              <w:spacing w:before="0" w:after="0"/>
              <w:jc w:val="left"/>
              <w:rPr>
                <w:rFonts w:ascii="Times New Roman" w:hAnsi="Times New Roman"/>
                <w:sz w:val="20"/>
              </w:rPr>
            </w:pPr>
            <w:r>
              <w:rPr>
                <w:rFonts w:ascii="Times New Roman" w:hAnsi="Times New Roman"/>
                <w:sz w:val="20"/>
              </w:rPr>
              <w:t xml:space="preserve">June </w:t>
            </w:r>
          </w:p>
          <w:p>
            <w:pPr>
              <w:pStyle w:val="TableContents"/>
              <w:bidi w:val="0"/>
              <w:spacing w:before="0" w:after="0"/>
              <w:jc w:val="left"/>
              <w:rPr>
                <w:rFonts w:ascii="Times New Roman" w:hAnsi="Times New Roman"/>
                <w:sz w:val="20"/>
              </w:rPr>
            </w:pPr>
            <w:r>
              <w:rPr>
                <w:rFonts w:ascii="Times New Roman" w:hAnsi="Times New Roman"/>
                <w:sz w:val="20"/>
              </w:rPr>
              <w:t>30, 2023</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522" w:type="dxa"/>
            <w:tcBorders/>
            <w:vAlign w:val="center"/>
          </w:tcPr>
          <w:p>
            <w:pPr>
              <w:pStyle w:val="TableContents"/>
              <w:bidi w:val="0"/>
              <w:spacing w:before="0" w:after="283"/>
              <w:jc w:val="right"/>
              <w:rPr/>
            </w:pPr>
            <w:r>
              <w:rPr/>
              <w:t>36,800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w:t>
            </w:r>
          </w:p>
        </w:tc>
        <w:tc>
          <w:tcPr>
            <w:tcW w:w="1067" w:type="dxa"/>
            <w:tcBorders/>
            <w:vAlign w:val="center"/>
          </w:tcPr>
          <w:p>
            <w:pPr>
              <w:pStyle w:val="TableContents"/>
              <w:bidi w:val="0"/>
              <w:spacing w:before="0" w:after="283"/>
              <w:jc w:val="right"/>
              <w:rPr/>
            </w:pPr>
            <w:r>
              <w:rPr/>
              <w:t>400</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double" w:sz="6" w:space="1" w:color="000000"/>
              </w:rPr>
            </w:pPr>
            <w:r>
              <w:rPr>
                <w:bdr w:val="double" w:sz="6" w:space="1" w:color="000000"/>
              </w:rPr>
              <w:t> </w:t>
            </w:r>
          </w:p>
        </w:tc>
        <w:tc>
          <w:tcPr>
            <w:tcW w:w="152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0"/>
              <w:jc w:val="left"/>
              <w:rPr>
                <w:bdr w:val="double" w:sz="6" w:space="1" w:color="000000"/>
              </w:rPr>
            </w:pPr>
            <w:r>
              <w:rPr>
                <w:bdr w:val="double" w:sz="6" w:space="1" w:color="000000"/>
              </w:rPr>
              <w:t> </w:t>
            </w:r>
          </w:p>
        </w:tc>
        <w:tc>
          <w:tcPr>
            <w:tcW w:w="106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For the three months ended June 30, 2024 and 2023, the Company recognized a gain of $1.7 million and expense of $0.7 million, respectively, in other (expense) income, net due to the change in the fair value of warrant liability determined by Level 3 valuation techniques. For the six months ended June 30, 2024 and 2023, the Company recognized a gain of $0.9 million and $5.7 million, respectively, in other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expense</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 net due to the change in the fair value of warrant liability determined by Level 3 valuation techniques. </w:t>
      </w:r>
    </w:p>
    <w:p>
      <w:pPr>
        <w:pStyle w:val="TextBody"/>
        <w:bidi w:val="0"/>
        <w:spacing w:before="0" w:after="0"/>
        <w:ind w:left="0" w:right="0" w:hanging="0"/>
        <w:jc w:val="left"/>
        <w:rPr>
          <w:spacing w:val="0"/>
          <w:shd w:fill="FFFFFF" w:val="clear"/>
        </w:rPr>
      </w:pPr>
      <w:r>
        <w:rPr>
          <w:spacing w:val="0"/>
          <w:shd w:fill="FFFFFF" w:val="clear"/>
        </w:rPr>
        <w:t> </w:t>
      </w:r>
    </w:p>
    <w:tbl>
      <w:tblPr>
        <w:tblW w:w="2245" w:type="dxa"/>
        <w:jc w:val="left"/>
        <w:tblInd w:w="0" w:type="dxa"/>
        <w:tblLayout w:type="fixed"/>
        <w:tblCellMar>
          <w:top w:w="0" w:type="dxa"/>
          <w:left w:w="0" w:type="dxa"/>
          <w:bottom w:w="0" w:type="dxa"/>
          <w:right w:w="0" w:type="dxa"/>
        </w:tblCellMar>
      </w:tblPr>
      <w:tblGrid>
        <w:gridCol w:w="335"/>
        <w:gridCol w:w="1910"/>
      </w:tblGrid>
      <w:tr>
        <w:trPr/>
        <w:tc>
          <w:tcPr>
            <w:tcW w:w="335" w:type="dxa"/>
            <w:tcBorders/>
            <w:vAlign w:val="center"/>
          </w:tcPr>
          <w:p>
            <w:pPr>
              <w:pStyle w:val="TableContents"/>
              <w:bidi w:val="0"/>
              <w:spacing w:before="0" w:after="0"/>
              <w:jc w:val="left"/>
              <w:rPr>
                <w:b/>
                <w:spacing w:val="0"/>
              </w:rPr>
            </w:pPr>
            <w:r>
              <w:rPr>
                <w:b/>
                <w:spacing w:val="0"/>
              </w:rPr>
              <w:t>15.</w:t>
            </w:r>
          </w:p>
        </w:tc>
        <w:tc>
          <w:tcPr>
            <w:tcW w:w="19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RELATED PARTIES </w:t>
            </w:r>
          </w:p>
        </w:tc>
      </w:tr>
    </w:tbl>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2018, the Company received $1.5 million from a related party for assuming an office lease from such party. The liability is amortized through the right-of-use asset as a reduction of rent expense over the lease term. The Company had a remaining related liability of $0.7 million as of June 30, 2024 and December 31, 2023. The Company subleases a portion of office space to this related party on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month-to-month</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basis. Sublease income received from the related party was insignificant for the three and six months ended June 30, 2024 and 2023. </w:t>
      </w:r>
    </w:p>
    <w:p>
      <w:pPr>
        <w:pStyle w:val="TextBody"/>
        <w:bidi w:val="0"/>
        <w:spacing w:before="360" w:after="0"/>
        <w:ind w:left="0" w:right="0" w:hanging="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Strategic Investment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On August 19, 2021, the Company entered into a related party arrangement with Pathos AI, Inc. (“Pathos”) for the purpose of furthering the commercialization efforts of drug development. Tempus received a warrant to purchase 23,456,790 shares, or approximately 19% of the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non-exclusive,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revocable,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non-transferable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right and license, without right of sublicense, to access and download certain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de-identified</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records from the Company’s proprietary database. Pathos in turn agreed to certain license fees depending on the number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de-identified</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records it elects to license during the term of the master agreement. Pathos also agreed to pay the Company a subscription fee equal to $0.4 million per year for access to the Company’s Lens product. The Company recognized $0.1 million and $0.2 million in revenue for this access fee in the three and six months ended June 30, 2024 and 2023, respectively. The master agreement provides for an initial term of five years, with a subsequent five-year renewal provision unless the agreement is terminated. Either party may terminate the agreement after the initial five-year term by prior written notice to the other party.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In 2022, the Company entered into two additional related party arrangements with Pathos for both sequencing and other data services. The Company recognized less than $0.3 million in revenue for both arrangements for both the three and six months ended June 30, 2024 and 2023. In 2023, the Company entered into an additional related party arrangement with Pathos for other data services. The Company recognized less than $0.1 million in revenue for both the three and six months ended June 30, 2024 and 2023.</w:t>
      </w:r>
    </w:p>
    <w:p>
      <w:pPr>
        <w:pStyle w:val="TextBody"/>
        <w:bidi w:val="0"/>
        <w:spacing w:before="160" w:after="0"/>
        <w:jc w:val="center"/>
        <w:rPr>
          <w:rFonts w:ascii="Times New Roman" w:hAnsi="Times New Roman"/>
          <w:spacing w:val="0"/>
          <w:sz w:val="20"/>
          <w:shd w:fill="FFFFFF" w:val="clear"/>
        </w:rPr>
      </w:pPr>
      <w:r>
        <w:rPr>
          <w:rFonts w:ascii="Times New Roman" w:hAnsi="Times New Roman"/>
          <w:spacing w:val="0"/>
          <w:sz w:val="20"/>
          <w:shd w:fill="FFFFFF" w:val="clear"/>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NOTES TO CONDENSED CONSOLIDATED FINANCIAL STATEMENTS </w:t>
      </w: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of June 30, 2024 and December 31, 2023, there was no amount due to related parties. As of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both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June 30, 2024 and December 31, 2023, the amount due from related parties was less than $0.1 million</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0" w:after="0"/>
        <w:jc w:val="left"/>
        <w:rPr>
          <w:shd w:fill="FFFFFF" w:val="clear"/>
        </w:rPr>
      </w:pPr>
      <w:r>
        <w:rPr>
          <w:shd w:fill="FFFFFF" w:val="clear"/>
        </w:rPr>
        <w:t> </w:t>
      </w:r>
    </w:p>
    <w:tbl>
      <w:tblPr>
        <w:tblW w:w="2545" w:type="dxa"/>
        <w:jc w:val="left"/>
        <w:tblInd w:w="0" w:type="dxa"/>
        <w:tblLayout w:type="fixed"/>
        <w:tblCellMar>
          <w:top w:w="0" w:type="dxa"/>
          <w:left w:w="0" w:type="dxa"/>
          <w:bottom w:w="0" w:type="dxa"/>
          <w:right w:w="0" w:type="dxa"/>
        </w:tblCellMar>
      </w:tblPr>
      <w:tblGrid>
        <w:gridCol w:w="335"/>
        <w:gridCol w:w="2210"/>
      </w:tblGrid>
      <w:tr>
        <w:trPr/>
        <w:tc>
          <w:tcPr>
            <w:tcW w:w="335" w:type="dxa"/>
            <w:tcBorders/>
            <w:vAlign w:val="center"/>
          </w:tcPr>
          <w:p>
            <w:pPr>
              <w:pStyle w:val="TableContents"/>
              <w:bidi w:val="0"/>
              <w:spacing w:before="0" w:after="0"/>
              <w:jc w:val="left"/>
              <w:rPr>
                <w:b/>
                <w:spacing w:val="0"/>
              </w:rPr>
            </w:pPr>
            <w:r>
              <w:rPr>
                <w:b/>
                <w:spacing w:val="0"/>
              </w:rPr>
              <w:t>16.</w:t>
            </w:r>
          </w:p>
        </w:tc>
        <w:tc>
          <w:tcPr>
            <w:tcW w:w="22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ind w:left="0" w:right="0" w:hanging="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Japan Joint Venture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On May 18, 2024, the Company entered into a Joint Venture Agreement (the “Joint Venture Agreement”), by and among SoftBank Group Corporation (“SoftBank”), SoftBank Group Japan Corporation, the Company and Pegasos Corp. (the “Joint Venture”), pursuant to which the Joint Venture will engage in certain business activities in Japan similar to those conducted by the Company in the United States, including performing clinical sequencing, organizing patient data, and building a real world data business in Japan. The Joint Venture closed on July 18, 2024. The Company and SoftBank capitalized the Joint Venture with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¥30,000,000,000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(approximately $191.1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based on foreign exchange rates as of July 18, 2024), split evenly between the two parties and each received</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50%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of the Joint Venture’s outstanding capital stock and board seats.</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connection with entering into the Joint Venture Agreement, the Company entered into the following agreements with the Joint Venture: a Data License Agreement (the “Data License Agreement”), which became effective immediately upon signing the Joint Venture Agreement; an Intellectual Property License Agreement (the “IP License Agreement”) and a Services Agreement, each of which became effective on July 18, 2024 upon closing. Under the Data License Agreement, the Company granted the Joint Venture a limited, non-exclusive, transferable license with a limited right to sublicense certain de-identified data for certain specified uses solely in Japan. Under the Data License Agreement, the Joint Venture paid the Company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7,500,000,000</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approximately $47.8 million based on foreign exchange rates as of July 18, 2024) in exchange for the license to the Initial Records Batch (as defined in the Data License Agreement) and an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7,500,000,000</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(approximately $47.8 million based on foreign exchange rates as of July 18, 2024) pursuant to the IP License Agreement in exchange for a non-exclusive license with respect to certain of the Company’s technologies for certain specified uses solely in Japan. Under the Services Agreement, the Company will provide the Joint Venture with certain services.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foreign exchange gain/loss on the exchange of funds on July 18, 2024 upon closing of the Joint Venture was not material.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29 </w:t>
      </w:r>
    </w:p>
    <w:p>
      <w:pPr>
        <w:pStyle w:val="TextBody"/>
        <w:bidi w:val="0"/>
        <w:spacing w:before="0" w:after="283"/>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 looking statements contained in this Quarterly Report on Form 10-Q include, but are not limited to, statements concerning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evolving treatment paradigm for cancer, including physicians’ use of molecular data and targeted oncology therapeutics and the market size for our current and future products;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our business beyond oncology into new disease areas;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addressable market and our expectations regarding our revenue, expenses, capital requirements and operating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new products and services, including our goals and strategy regarding development and commercialization of AI Applications;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grow our datasets, including in new disease areas and geographies;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expectation that the growth of our datasets will improve the quality of our products and services and accelerate their adoption;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capture, aggregate, analyze or otherwise utilize genomic data in new ways and in additional diagnostic modalities;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expectation that we will continue to commercialize de-identified records and license them to multiple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acceptance of our publications in peer-reviewed journals or of our presentations at scientific and medical conference presentations;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products, technologies and businesses;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companies and technologies and our industry;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of Intelligent Diagnostics to be disruptive across a broad set of disease areas and the clinical trial process;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and grow our business by expanding our sales to existing customers or introducing our products to new customers;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payer reimbursement and coverage decisions, including our strategy to increase reimbursement;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intellectual property protection for our products or avoid claims of infringement;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effects of evolving and/or extensive government regulation;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75"/>
        <w:gridCol w:w="110"/>
        <w:gridCol w:w="60"/>
        <w:gridCol w:w="3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internationally, including through the Joint Venture in Japan;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acquire businesses, form joint ventures or make investments in companies or technologies;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and enforce our intellectual property rights, including our trade secret protected proprietary rights in our platform;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service or pay down existing or future debt obligations;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cash needs and our needs for additional financing;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anticipated trends and challenges in our business and the markets in which we operate;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release of lock-up agreements or market standoff agreements, anticipation of such events, and sales of shares of our Class A common stock by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rFonts w:ascii="Times New Roman" w:hAnsi="Times New Roman"/>
          <w:b/>
          <w:sz w:val="20"/>
        </w:rPr>
      </w:pPr>
      <w:bookmarkStart w:id="3" w:name="fin700319_6"/>
      <w:bookmarkEnd w:id="3"/>
      <w:r>
        <w:rPr>
          <w:rFonts w:ascii="Times New Roman" w:hAnsi="Times New Roman"/>
          <w:b/>
          <w:sz w:val="20"/>
        </w:rPr>
        <w:t xml:space="preserve">Item 2. Management’s Discussion and Analysis of Financial Condition and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in conjunction with the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for the year ended December 31, 2023 included in the final prospectus, or the Final Prospectus, for our initial public offering, or the IPO, dated as of June 13, 2024 and filed with the Securities and Exchange Commission, or the SEC, pursuant to Rule 424(b)(4) on June 17, 2024.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Quarterly Report on Form 10-Q for a discussion of forward- looking statements and important factors that could cause actual results to differ materially from the results described in or implied by the forward-looking statements contained in the following discussion and analysis.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 </w:t>
      </w:r>
    </w:p>
    <w:p>
      <w:pPr>
        <w:pStyle w:val="TextBody"/>
        <w:bidi w:val="0"/>
        <w:spacing w:before="240" w:after="0"/>
        <w:jc w:val="left"/>
        <w:rPr>
          <w:rFonts w:ascii="Times New Roman" w:hAnsi="Times New Roman"/>
          <w:sz w:val="20"/>
        </w:rPr>
      </w:pPr>
      <w:r>
        <w:rPr>
          <w:rFonts w:ascii="Times New Roman" w:hAnsi="Times New Roman"/>
          <w:sz w:val="20"/>
        </w:rPr>
        <w:t xml:space="preserve">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 and providing diagnostics that are algorithmic in nature, implementing new software as a medical device, and building and deploying clinical decision support tools. </w:t>
      </w:r>
    </w:p>
    <w:p>
      <w:pPr>
        <w:pStyle w:val="TextBody"/>
        <w:bidi w:val="0"/>
        <w:spacing w:before="240" w:after="0"/>
        <w:jc w:val="left"/>
        <w:rPr>
          <w:rFonts w:ascii="Times New Roman" w:hAnsi="Times New Roman"/>
          <w:sz w:val="20"/>
        </w:rPr>
      </w:pPr>
      <w:r>
        <w:rPr>
          <w:rFonts w:ascii="Times New Roman" w:hAnsi="Times New Roman"/>
          <w:sz w:val="20"/>
        </w:rPr>
        <w:t xml:space="preserve">We primarily operate in the United States and generated total revenue of $166.0 and $132.4 million in the three months ended June 30, 2024 and 2023, respectively, and $311.8 million and $248.0 million in the six months ended June 30, 2024 and 2023, respectively. We also incurred net losses of $552.2 and $55.8 million in the three months ended June 30, 2024 and 2023, respectively, and net losses of $617.0 million and $110.2 million in the six months ended June 30, 2024 and 2023, respectively. We generated adjusted EBITDA of $(31.2) million and $(37.0) million, in the three months ended June 30, 2024 and 2023, respectively, and $(75.1) million and $(82.9) million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 months ended June 30, 2024 and 2023,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the section titled “Non-GAAP Financial Measure”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On June 13, 2024, the registration statement relating to our IPO was declared effective and shares of our Class A common stock began trading on the Nasdaq Global Select Market on June 14, 2024. On June 17, 2024, we completed our IPO in which we issued and sold 11,100,000 shares of Class A common stock, at a public offering price of $37.00 per share. We received net proceeds of $382.0 million after deducting underwriting discounts and commissions of $28.7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IPO, all shares of our then-outstanding redeemable convertible preferred stock, other than our Series B redeemable convertible preferred stock, converted into an aggregate of 66,309,550 shares of Class A common stock. Series B redeemable convertible preferred stock converted on a one-for-one basis into an aggregate of 5,374,899 shares of Class B common stock. Subsequently, 331,110 shares of Class B common stock were automatically converted into shares of Class A common stock, such that there are 5,043,789 shares of Class B common stock outstanding. We issued an additional 236,719 shares of Class A common stock to an investor in Series G-3 preferred stock, pursuant to a separate agreement further described in Note 9. </w:t>
      </w:r>
    </w:p>
    <w:p>
      <w:pPr>
        <w:pStyle w:val="TextBody"/>
        <w:bidi w:val="0"/>
        <w:spacing w:before="240" w:after="0"/>
        <w:jc w:val="left"/>
        <w:rPr>
          <w:rFonts w:ascii="Times New Roman" w:hAnsi="Times New Roman"/>
          <w:sz w:val="20"/>
        </w:rPr>
      </w:pPr>
      <w:r>
        <w:rPr>
          <w:rFonts w:ascii="Times New Roman" w:hAnsi="Times New Roman"/>
          <w:sz w:val="20"/>
        </w:rPr>
        <w:t xml:space="preserve">As of June 16, 2024, our redeemable convertible preferred stock had accrued $188.2 million of unpaid dividends, which were paid in 5,098,799 shares of Class A common stock at the closing of the IPO. </w:t>
      </w:r>
    </w:p>
    <w:p>
      <w:pPr>
        <w:pStyle w:val="TextBody"/>
        <w:bidi w:val="0"/>
        <w:spacing w:before="240" w:after="0"/>
        <w:jc w:val="left"/>
        <w:rPr>
          <w:rFonts w:ascii="Times New Roman" w:hAnsi="Times New Roman"/>
          <w:sz w:val="20"/>
        </w:rPr>
      </w:pPr>
      <w:r>
        <w:rPr>
          <w:rFonts w:ascii="Times New Roman" w:hAnsi="Times New Roman"/>
          <w:sz w:val="20"/>
        </w:rPr>
        <w:t xml:space="preserve">Outstanding shares of non-voting common stock were converted on a one-for-one basis into 5,069,477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stock units (“RSUs”) granted to employees are subject to two vesting conditions. The first is a time-based component. The second vesting condition is the occurrence of a liquidity event. The liquidity event condition related to these awards was satisfied upon the effectiveness of the IPO. Upon effectiveness of the IPO, we recognized $488.3 million of stock-based compensation expense during the three months ended June 30, 2024. To meet the related tax withholding requirements, we withheld 1,911,316 shares of the 4,563,164 shares of Class A common stock issued. Based on the IPO public offering price of $37.00 per share, the tax withholding obligation was $70.8 million. </w:t>
      </w:r>
    </w:p>
    <w:p>
      <w:pPr>
        <w:pStyle w:val="TextBody"/>
        <w:bidi w:val="0"/>
        <w:spacing w:before="240" w:after="0"/>
        <w:jc w:val="left"/>
        <w:rPr>
          <w:rFonts w:ascii="Times New Roman" w:hAnsi="Times New Roman"/>
          <w:sz w:val="20"/>
        </w:rPr>
      </w:pPr>
      <w:r>
        <w:rPr>
          <w:rFonts w:ascii="Times New Roman" w:hAnsi="Times New Roman"/>
          <w:sz w:val="20"/>
        </w:rPr>
        <w:t xml:space="preserve">We issued 109,459 shares of Class A common stock related to the exercise of a warrant issued to Allen, as further described in Note 8 to our unaudited condensed consolidated financial statements included elsewhere in this Quarterly Report on Form 10-Q, which was subject to automatic net exercise upon the IPO.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we amended and restated our certificate of incorporation, under which authorized capital stock consists of 1,000,000,000 shares of Class A common stock, 5,500,000 shares of Class B common stock, and 20,000,000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Strategic Collaborations </w:t>
      </w:r>
    </w:p>
    <w:p>
      <w:pPr>
        <w:pStyle w:val="TextBody"/>
        <w:bidi w:val="0"/>
        <w:spacing w:before="120" w:after="0"/>
        <w:jc w:val="left"/>
        <w:rPr>
          <w:rFonts w:ascii="Times New Roman" w:hAnsi="Times New Roman"/>
          <w:i/>
          <w:sz w:val="20"/>
        </w:rPr>
      </w:pPr>
      <w:r>
        <w:rPr>
          <w:rFonts w:ascii="Times New Roman" w:hAnsi="Times New Roman"/>
          <w:i/>
          <w:sz w:val="20"/>
        </w:rPr>
        <w:t xml:space="preserve">AstraZeneca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2028, unless terminated sooner. The minimum commitment may increase from $220 million to $320 million through December 2028 upon the occurrence of any of the following events: (i) at AstraZeneca’s election on or before December 31, 2024, (ii) the date that AstraZeneca exercises the warrant issued pursuant to the terms thereof (as described below), or (iii) if the average closing price of our Class A common stock exceeds two times the IPO price for any 30-day trading period following the one-year anniversary of such initial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warrant, AstraZeneca has the right to purchase $100 million in shares of our Class A common stock at an exercise price equal to $37.00 per share, the public offering price in our IPO. The warrant may be exercised any time following the date that is 180 days following the pricing of our IPO.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from $220 million to $320 million through December 2028. </w:t>
      </w:r>
    </w:p>
    <w:p>
      <w:pPr>
        <w:pStyle w:val="TextBody"/>
        <w:bidi w:val="0"/>
        <w:spacing w:before="360" w:after="0"/>
        <w:jc w:val="left"/>
        <w:rPr>
          <w:rFonts w:ascii="Times New Roman" w:hAnsi="Times New Roman"/>
          <w:i/>
          <w:sz w:val="20"/>
        </w:rPr>
      </w:pPr>
      <w:r>
        <w:rPr>
          <w:rFonts w:ascii="Times New Roman" w:hAnsi="Times New Roman"/>
          <w:i/>
          <w:sz w:val="20"/>
        </w:rPr>
        <w:t xml:space="preserve">GlaxoSmithKline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 </w:t>
      </w:r>
    </w:p>
    <w:p>
      <w:pPr>
        <w:pStyle w:val="TextBody"/>
        <w:bidi w:val="0"/>
        <w:spacing w:before="360" w:after="0"/>
        <w:jc w:val="left"/>
        <w:rPr>
          <w:rFonts w:ascii="Times New Roman" w:hAnsi="Times New Roman"/>
          <w:i/>
          <w:sz w:val="20"/>
        </w:rPr>
      </w:pPr>
      <w:r>
        <w:rPr>
          <w:rFonts w:ascii="Times New Roman" w:hAnsi="Times New Roman"/>
          <w:i/>
          <w:sz w:val="20"/>
        </w:rPr>
        <w:t xml:space="preserve">Recursion Master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“Item 1A.—Risk Factors”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and New Products </w:t>
      </w:r>
    </w:p>
    <w:p>
      <w:pPr>
        <w:pStyle w:val="TextBody"/>
        <w:bidi w:val="0"/>
        <w:spacing w:before="120" w:after="0"/>
        <w:jc w:val="left"/>
        <w:rPr>
          <w:rFonts w:ascii="Times New Roman" w:hAnsi="Times New Roman"/>
          <w:sz w:val="20"/>
        </w:rPr>
      </w:pPr>
      <w:r>
        <w:rPr>
          <w:rFonts w:ascii="Times New Roman" w:hAnsi="Times New Roman"/>
          <w:sz w:val="20"/>
        </w:rPr>
        <w:t xml:space="preserve">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$68.1 and $22.2 million during the three months ended June 30, 2024 and 2023, respectively, and $92.4 million and $43.0 million during the six months ended June 30, 2024 and 2023, respectively, in research and development. Our ability to develop new products, obtain regulatory approvals when required, launch them into the market, and drive adoption of these products by our customers will continue to play a key role in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Acquisition and Expansion </w:t>
      </w:r>
    </w:p>
    <w:p>
      <w:pPr>
        <w:pStyle w:val="TextBody"/>
        <w:bidi w:val="0"/>
        <w:spacing w:before="120" w:after="0"/>
        <w:jc w:val="left"/>
        <w:rPr>
          <w:rFonts w:ascii="Times New Roman" w:hAnsi="Times New Roman"/>
          <w:sz w:val="20"/>
        </w:rPr>
      </w:pPr>
      <w:r>
        <w:rPr>
          <w:rFonts w:ascii="Times New Roman" w:hAnsi="Times New Roman"/>
          <w:sz w:val="20"/>
        </w:rPr>
        <w:t xml:space="preserve">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7,000 physicians and we have worked with over 200 biotech companies, as well as 19 of the 20 largest public pharmaceutical companies based on 2023 revenue, albeit with many we are still at an early stage of adoption. Our financial performance relies heavily on our ability to add customers to our Platform and expand the relationships with our current customers through adoption of our new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Investments in Technology </w:t>
      </w:r>
    </w:p>
    <w:p>
      <w:pPr>
        <w:pStyle w:val="TextBody"/>
        <w:bidi w:val="0"/>
        <w:spacing w:before="120" w:after="0"/>
        <w:jc w:val="left"/>
        <w:rPr>
          <w:rFonts w:ascii="Times New Roman" w:hAnsi="Times New Roman"/>
          <w:sz w:val="20"/>
        </w:rPr>
      </w:pPr>
      <w:r>
        <w:rPr>
          <w:rFonts w:ascii="Times New Roman" w:hAnsi="Times New Roman"/>
          <w:sz w:val="20"/>
        </w:rPr>
        <w:t xml:space="preserve">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$77.9 million and $23.4 million during the three months ended June 30, 2024 and 2023, respectively, and $105.0 million and $46.3 million during the six months ended June 30, 2024 and 2023,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Payer 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2023, we had received payment on approximately 50% of our clinical oncology NGS tests across all payers performed from January 1, 2021 through December 31, 2022. We calculated this metric on a trailing basis based on payer adjudication timing. However, we continued to perform our NGS tests through December 31, 2023. For the years ended December 31, 2022 and 2023, our average reimbursement for NGS tests in oncology was approximately $916 and $1,452,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primarily derive our revenue from two product lines: (1) Genomics and (2) Data and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Genomics </w:t>
      </w:r>
    </w:p>
    <w:p>
      <w:pPr>
        <w:pStyle w:val="TextBody"/>
        <w:bidi w:val="0"/>
        <w:spacing w:before="120" w:after="0"/>
        <w:jc w:val="left"/>
        <w:rPr>
          <w:rFonts w:ascii="Times New Roman" w:hAnsi="Times New Roman"/>
          <w:sz w:val="20"/>
        </w:rPr>
      </w:pPr>
      <w:r>
        <w:rPr>
          <w:rFonts w:ascii="Times New Roman" w:hAnsi="Times New Roman"/>
          <w:sz w:val="20"/>
        </w:rPr>
        <w:t xml:space="preserve">Genomics primarily includes revenue from diagnostics, PCR profiling, and other anatomic and molecular pathology testing to healthcare providers, pharmaceutical companies, biotechnology companies, researchers, and other third parties.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Services </w:t>
      </w:r>
    </w:p>
    <w:p>
      <w:pPr>
        <w:pStyle w:val="TextBody"/>
        <w:bidi w:val="0"/>
        <w:spacing w:before="120" w:after="0"/>
        <w:jc w:val="left"/>
        <w:rPr>
          <w:rFonts w:ascii="Times New Roman" w:hAnsi="Times New Roman"/>
          <w:sz w:val="20"/>
        </w:rPr>
      </w:pPr>
      <w:r>
        <w:rPr>
          <w:rFonts w:ascii="Times New Roman" w:hAnsi="Times New Roman"/>
          <w:sz w:val="20"/>
        </w:rPr>
        <w:t xml:space="preserve">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Cost and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Revenues, Genomics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third- 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Revenues, Data and Services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w:t>
      </w:r>
    </w:p>
    <w:p>
      <w:pPr>
        <w:pStyle w:val="TextBody"/>
        <w:bidi w:val="0"/>
        <w:spacing w:before="360" w:after="0"/>
        <w:jc w:val="left"/>
        <w:rPr>
          <w:rFonts w:ascii="Times New Roman" w:hAnsi="Times New Roman"/>
          <w:i/>
          <w:sz w:val="20"/>
        </w:rPr>
      </w:pPr>
      <w:r>
        <w:rPr>
          <w:rFonts w:ascii="Times New Roman" w:hAnsi="Times New Roman"/>
          <w:i/>
          <w:sz w:val="20"/>
        </w:rPr>
        <w:t xml:space="preserve">Technology 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selling, general and administrative expenses will continue to increase in absolute dollars after our IPO,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As the performance-based vesting condition of our RSUs was satisfied in connection with our IPO, we will continue to record stock-based compensation expenses associated with the vesting of RSUs in the quarter in which such vestings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of interest earned on our cash and cash equivalents.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consists primarily of interest from our Amended Note and Term Loan Facility (each as defined in “Liquidity and Capital Resources” below), and finance leases. Interest expense related to our convertible debt will continue, but should decrease over time as the principal amount decreases.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(Expense)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(expense) income, net consists of foreign currency exchange gains and losses, gains and losses on marketable equity securities,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Inc. The fair value of the warrant assets and liabilities are measured each reporting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Income Tax </w:t>
      </w:r>
    </w:p>
    <w:p>
      <w:pPr>
        <w:pStyle w:val="TextBody"/>
        <w:bidi w:val="0"/>
        <w:spacing w:before="120" w:after="0"/>
        <w:jc w:val="left"/>
        <w:rPr>
          <w:rFonts w:ascii="Times New Roman" w:hAnsi="Times New Roman"/>
          <w:sz w:val="20"/>
        </w:rPr>
      </w:pPr>
      <w:r>
        <w:rPr>
          <w:rFonts w:ascii="Times New Roman" w:hAnsi="Times New Roman"/>
          <w:sz w:val="20"/>
        </w:rPr>
        <w:t xml:space="preserve">Provision for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Losses from Equity Method Investments </w:t>
      </w:r>
    </w:p>
    <w:p>
      <w:pPr>
        <w:pStyle w:val="TextBody"/>
        <w:bidi w:val="0"/>
        <w:spacing w:before="120" w:after="0"/>
        <w:jc w:val="left"/>
        <w:rPr>
          <w:rFonts w:ascii="Times New Roman" w:hAnsi="Times New Roman"/>
          <w:sz w:val="20"/>
        </w:rPr>
      </w:pPr>
      <w:r>
        <w:rPr>
          <w:rFonts w:ascii="Times New Roman" w:hAnsi="Times New Roman"/>
          <w:sz w:val="20"/>
        </w:rPr>
        <w:t xml:space="preserve">Losses from equity method investments consist of earnings from our joint venture entered during the third quarter of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significant components of our results of operations for the periods presented. </w:t>
      </w:r>
    </w:p>
    <w:p>
      <w:pPr>
        <w:pStyle w:val="TextBody"/>
        <w:bidi w:val="0"/>
        <w:spacing w:before="0" w:after="0"/>
        <w:jc w:val="left"/>
        <w:rPr/>
      </w:pPr>
      <w:r>
        <w:rPr/>
        <w:t> </w:t>
      </w:r>
    </w:p>
    <w:tbl>
      <w:tblPr>
        <w:tblW w:w="9694" w:type="dxa"/>
        <w:jc w:val="left"/>
        <w:tblInd w:w="0" w:type="dxa"/>
        <w:tblLayout w:type="fixed"/>
        <w:tblCellMar>
          <w:top w:w="0" w:type="dxa"/>
          <w:left w:w="0" w:type="dxa"/>
          <w:bottom w:w="0" w:type="dxa"/>
          <w:right w:w="0" w:type="dxa"/>
        </w:tblCellMar>
      </w:tblPr>
      <w:tblGrid>
        <w:gridCol w:w="3245"/>
        <w:gridCol w:w="120"/>
        <w:gridCol w:w="200"/>
        <w:gridCol w:w="1259"/>
        <w:gridCol w:w="222"/>
        <w:gridCol w:w="85"/>
        <w:gridCol w:w="200"/>
        <w:gridCol w:w="1156"/>
        <w:gridCol w:w="155"/>
        <w:gridCol w:w="60"/>
        <w:gridCol w:w="175"/>
        <w:gridCol w:w="1100"/>
        <w:gridCol w:w="194"/>
        <w:gridCol w:w="74"/>
        <w:gridCol w:w="175"/>
        <w:gridCol w:w="1104"/>
        <w:gridCol w:w="17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10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Genomics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259" w:type="dxa"/>
            <w:tcBorders/>
            <w:vAlign w:val="center"/>
          </w:tcPr>
          <w:p>
            <w:pPr>
              <w:pStyle w:val="TableContents"/>
              <w:bidi w:val="0"/>
              <w:spacing w:before="0" w:after="283"/>
              <w:jc w:val="right"/>
              <w:rPr/>
            </w:pPr>
            <w:r>
              <w:rPr/>
              <w:t>112,324</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91,924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214,893</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173,982</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Data and services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53,645</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40,493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96,896</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74,059</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15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259" w:type="dxa"/>
            <w:tcBorders/>
            <w:vAlign w:val="center"/>
          </w:tcPr>
          <w:p>
            <w:pPr>
              <w:pStyle w:val="TableContents"/>
              <w:bidi w:val="0"/>
              <w:spacing w:before="0" w:after="283"/>
              <w:jc w:val="right"/>
              <w:rPr/>
            </w:pPr>
            <w:r>
              <w:rPr/>
              <w:t>165,969</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132,417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311,789</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248,041</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Cost and operating expenses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10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 genomics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68,324</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46,961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121,159</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92,241</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 data and services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22,132</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13,807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37,420</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25,200</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Technology research and development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77,908</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23,427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104,975</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46,329</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68,025</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22,171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92,365</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43,034</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463,072</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71,189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542,636</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140,236</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and operating expenses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699,461</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177,555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898,555</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347,040</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15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259" w:type="dxa"/>
            <w:tcBorders/>
            <w:vAlign w:val="center"/>
          </w:tcPr>
          <w:p>
            <w:pPr>
              <w:pStyle w:val="TableContents"/>
              <w:bidi w:val="0"/>
              <w:spacing w:before="0" w:after="283"/>
              <w:jc w:val="right"/>
              <w:rPr/>
            </w:pPr>
            <w:r>
              <w:rPr/>
              <w:t>(533,492</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(45,138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(586,766</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(98,999</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15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1,718</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1,957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2,749</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4,381</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(13,295</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(11,712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(26,533</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(20,903</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(7,048</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(6,299</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5,622</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15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259" w:type="dxa"/>
            <w:tcBorders/>
            <w:vAlign w:val="center"/>
          </w:tcPr>
          <w:p>
            <w:pPr>
              <w:pStyle w:val="TableContents"/>
              <w:bidi w:val="0"/>
              <w:spacing w:before="0" w:after="283"/>
              <w:jc w:val="right"/>
              <w:rPr/>
            </w:pPr>
            <w:r>
              <w:rPr/>
              <w:t>(552,117</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(55,659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(616,849</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(109,899</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(95</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Losses from equity method investments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(301</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259" w:type="dxa"/>
            <w:tcBorders/>
            <w:vAlign w:val="center"/>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15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10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(552,212</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(55,832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(616,955</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(110,209</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double" w:sz="6" w:space="1" w:color="000000"/>
              </w:pBdr>
              <w:bidi w:val="0"/>
              <w:spacing w:before="0" w:after="0"/>
              <w:jc w:val="left"/>
              <w:rPr/>
            </w:pPr>
            <w:r>
              <w:rPr/>
              <w:t> </w:t>
            </w:r>
          </w:p>
        </w:tc>
        <w:tc>
          <w:tcPr>
            <w:tcW w:w="1259" w:type="dxa"/>
            <w:tcBorders/>
            <w:vAlign w:val="center"/>
          </w:tcPr>
          <w:p>
            <w:pPr>
              <w:pStyle w:val="TableContents"/>
              <w:pBdr>
                <w:top w:val="double" w:sz="6"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double" w:sz="6" w:space="1" w:color="000000"/>
              </w:pBdr>
              <w:bidi w:val="0"/>
              <w:spacing w:before="0" w:after="0"/>
              <w:jc w:val="left"/>
              <w:rPr/>
            </w:pPr>
            <w:r>
              <w:rPr/>
              <w:t> </w:t>
            </w:r>
          </w:p>
        </w:tc>
        <w:tc>
          <w:tcPr>
            <w:tcW w:w="115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double" w:sz="6" w:space="1" w:color="000000"/>
              </w:pBdr>
              <w:bidi w:val="0"/>
              <w:spacing w:before="0" w:after="0"/>
              <w:jc w:val="left"/>
              <w:rPr/>
            </w:pPr>
            <w:r>
              <w:rPr/>
              <w:t> </w:t>
            </w:r>
          </w:p>
        </w:tc>
        <w:tc>
          <w:tcPr>
            <w:tcW w:w="110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Comparison of the Three Months Ended June 30, 2024 and 2023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0" w:after="0"/>
        <w:jc w:val="left"/>
        <w:rPr/>
      </w:pPr>
      <w:r>
        <w:rPr/>
        <w:t> </w:t>
      </w:r>
    </w:p>
    <w:tbl>
      <w:tblPr>
        <w:tblW w:w="7478" w:type="dxa"/>
        <w:jc w:val="left"/>
        <w:tblInd w:w="0" w:type="dxa"/>
        <w:tblLayout w:type="fixed"/>
        <w:tblCellMar>
          <w:top w:w="0" w:type="dxa"/>
          <w:left w:w="0" w:type="dxa"/>
          <w:bottom w:w="0" w:type="dxa"/>
          <w:right w:w="0" w:type="dxa"/>
        </w:tblCellMar>
      </w:tblPr>
      <w:tblGrid>
        <w:gridCol w:w="1565"/>
        <w:gridCol w:w="120"/>
        <w:gridCol w:w="206"/>
        <w:gridCol w:w="1178"/>
        <w:gridCol w:w="87"/>
        <w:gridCol w:w="176"/>
        <w:gridCol w:w="206"/>
        <w:gridCol w:w="1180"/>
        <w:gridCol w:w="60"/>
        <w:gridCol w:w="120"/>
        <w:gridCol w:w="169"/>
        <w:gridCol w:w="826"/>
        <w:gridCol w:w="60"/>
        <w:gridCol w:w="120"/>
        <w:gridCol w:w="209"/>
        <w:gridCol w:w="906"/>
        <w:gridCol w:w="290"/>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7"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3"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03"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Genomics</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112,324</w:t>
            </w:r>
          </w:p>
        </w:tc>
        <w:tc>
          <w:tcPr>
            <w:tcW w:w="8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91,924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20,400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22</w:t>
            </w:r>
          </w:p>
        </w:tc>
        <w:tc>
          <w:tcPr>
            <w:tcW w:w="290"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services</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53,645</w:t>
            </w:r>
          </w:p>
        </w:tc>
        <w:tc>
          <w:tcPr>
            <w:tcW w:w="87"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40,493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13,152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32</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pBdr>
                <w:top w:val="single" w:sz="2" w:space="1" w:color="000000"/>
              </w:pBdr>
              <w:bidi w:val="0"/>
              <w:spacing w:before="0" w:after="0"/>
              <w:jc w:val="left"/>
              <w:rPr/>
            </w:pPr>
            <w:r>
              <w:rPr/>
              <w:t> </w:t>
            </w:r>
          </w:p>
        </w:tc>
        <w:tc>
          <w:tcPr>
            <w:tcW w:w="1178" w:type="dxa"/>
            <w:tcBorders/>
            <w:vAlign w:val="center"/>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6" w:type="dxa"/>
            <w:tcBorders/>
            <w:vAlign w:val="center"/>
          </w:tcPr>
          <w:p>
            <w:pPr>
              <w:pStyle w:val="TableContents"/>
              <w:pBdr>
                <w:top w:val="single" w:sz="2" w:space="1" w:color="000000"/>
              </w:pBdr>
              <w:bidi w:val="0"/>
              <w:spacing w:before="0" w:after="0"/>
              <w:jc w:val="left"/>
              <w:rPr/>
            </w:pPr>
            <w:r>
              <w:rPr/>
              <w:t> </w:t>
            </w:r>
          </w:p>
        </w:tc>
        <w:tc>
          <w:tcPr>
            <w:tcW w:w="11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8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90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165,969</w:t>
            </w:r>
          </w:p>
        </w:tc>
        <w:tc>
          <w:tcPr>
            <w:tcW w:w="8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132,417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33,552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revenue for the three months ended June 30, 2024, compared to the same period in 2023, was due to increased volume of clinical oncology tests performed in Genomics and increased data deliveries in our Data and Services product line. </w:t>
      </w:r>
    </w:p>
    <w:p>
      <w:pPr>
        <w:pStyle w:val="TextBody"/>
        <w:bidi w:val="0"/>
        <w:spacing w:before="360" w:after="0"/>
        <w:jc w:val="left"/>
        <w:rPr>
          <w:rFonts w:ascii="Times New Roman" w:hAnsi="Times New Roman"/>
          <w:i/>
          <w:sz w:val="20"/>
        </w:rPr>
      </w:pPr>
      <w:r>
        <w:rPr>
          <w:rFonts w:ascii="Times New Roman" w:hAnsi="Times New Roman"/>
          <w:i/>
          <w:sz w:val="20"/>
        </w:rPr>
        <w:t xml:space="preserve">Genomics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genomics revenue for the three months ended June 30, 2024, compared to the same period in 2023, was primarily due to an increase in the number of oncology NGS tests, which increased from approximately 55,300 tests for the three months ended June 30, 2023 to approximately 66,500 tests for the three months ended June 30, 2024. Also contributing to the increase was the release of $1.2 million for the three months ended June 30, 2024 on a revenue reserve recorded for risks of future reversal of consideration associated with certain government payers, as the risk period the reserve covered has begun to lapse, as compared to an increase of $2.4 million on the same reserve for the three months ended June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Data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Data and services revenue for the three months ended June 30, 2024, compared to the same period in 2023, was driven primarily by $11.6 million from increased demand for our Insights products. Across all Data and services products, the increase in revenue in the three months ended June 30, 2024 is primarily attributable to continued growth from within our existing customer base, as well as adoption of our services by new customers that did not purchase services in the three months ended June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Cost and 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Cost of Revenues </w:t>
      </w:r>
    </w:p>
    <w:p>
      <w:pPr>
        <w:pStyle w:val="TextBody"/>
        <w:bidi w:val="0"/>
        <w:spacing w:before="0" w:after="0"/>
        <w:jc w:val="left"/>
        <w:rPr/>
      </w:pPr>
      <w:r>
        <w:rPr/>
        <w:t> </w:t>
      </w:r>
    </w:p>
    <w:tbl>
      <w:tblPr>
        <w:tblW w:w="8766" w:type="dxa"/>
        <w:jc w:val="left"/>
        <w:tblInd w:w="0" w:type="dxa"/>
        <w:tblLayout w:type="fixed"/>
        <w:tblCellMar>
          <w:top w:w="0" w:type="dxa"/>
          <w:left w:w="0" w:type="dxa"/>
          <w:bottom w:w="0" w:type="dxa"/>
          <w:right w:w="0" w:type="dxa"/>
        </w:tblCellMar>
      </w:tblPr>
      <w:tblGrid>
        <w:gridCol w:w="2855"/>
        <w:gridCol w:w="120"/>
        <w:gridCol w:w="232"/>
        <w:gridCol w:w="1133"/>
        <w:gridCol w:w="99"/>
        <w:gridCol w:w="199"/>
        <w:gridCol w:w="232"/>
        <w:gridCol w:w="1136"/>
        <w:gridCol w:w="60"/>
        <w:gridCol w:w="120"/>
        <w:gridCol w:w="169"/>
        <w:gridCol w:w="826"/>
        <w:gridCol w:w="60"/>
        <w:gridCol w:w="120"/>
        <w:gridCol w:w="209"/>
        <w:gridCol w:w="906"/>
        <w:gridCol w:w="290"/>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1"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01"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 genomics</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68,324</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46,961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21,363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45</w:t>
            </w:r>
          </w:p>
        </w:tc>
        <w:tc>
          <w:tcPr>
            <w:tcW w:w="29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 data and services</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22,132</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13,807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8,325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60</w:t>
            </w:r>
          </w:p>
        </w:tc>
        <w:tc>
          <w:tcPr>
            <w:tcW w:w="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pBdr>
                <w:top w:val="single" w:sz="2" w:space="1" w:color="000000"/>
              </w:pBdr>
              <w:bidi w:val="0"/>
              <w:spacing w:before="0" w:after="0"/>
              <w:jc w:val="left"/>
              <w:rPr/>
            </w:pPr>
            <w:r>
              <w:rPr/>
              <w:t> </w:t>
            </w:r>
          </w:p>
        </w:tc>
        <w:tc>
          <w:tcPr>
            <w:tcW w:w="1133" w:type="dxa"/>
            <w:tcBorders/>
            <w:vAlign w:val="center"/>
          </w:tcPr>
          <w:p>
            <w:pPr>
              <w:pStyle w:val="TableContents"/>
              <w:pBdr>
                <w:top w:val="single" w:sz="2" w:space="1" w:color="000000"/>
              </w:pBdr>
              <w:bidi w:val="0"/>
              <w:spacing w:before="0" w:after="0"/>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32"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8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90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90,456</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60,768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29,688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49</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Cost of revenues for the three months ended June 30, 2024, compared to the same period in 2023, was primarily due to $18.5 million of stock-based compensation expenses related to RSUs for which the performance-based vesting condition was satisfied in connection with our IPO, and increases of $4.5 million in material and service costs, $1.7 million in personnel costs, and $1.4 million in cloud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Revenues, Genomics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Cost of revenues, Genomics for the three months ended June 30, 2024, compared to the same period in 2023, was primarily due to $11.3 million of stock-based compensation expense related to RSUs for which the performance-based vesting condition was satisfied in connection with our IPO, and increases of $4.5 million in material and service costs, an increase of $2.4 million in personnel costs, and an increase of $0.5 million in cloud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Revenues, Data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Cost of revenues, Data and services for the three months ended June 30, 2024, compared to the same period in 2023, was primarily due to $7.2 million of stock-based compensation expense related to RSUs for which the performance-based vesting condition was satisfied in connection with our IPO, as well as an increase of $0.9 million in cloud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0" w:after="0"/>
        <w:jc w:val="left"/>
        <w:rPr/>
      </w:pPr>
      <w:r>
        <w:rPr/>
        <w:t> </w:t>
      </w:r>
    </w:p>
    <w:tbl>
      <w:tblPr>
        <w:tblW w:w="8136" w:type="dxa"/>
        <w:jc w:val="left"/>
        <w:tblInd w:w="0" w:type="dxa"/>
        <w:tblLayout w:type="fixed"/>
        <w:tblCellMar>
          <w:top w:w="0" w:type="dxa"/>
          <w:left w:w="0" w:type="dxa"/>
          <w:bottom w:w="0" w:type="dxa"/>
          <w:right w:w="0" w:type="dxa"/>
        </w:tblCellMar>
      </w:tblPr>
      <w:tblGrid>
        <w:gridCol w:w="2225"/>
        <w:gridCol w:w="120"/>
        <w:gridCol w:w="232"/>
        <w:gridCol w:w="1133"/>
        <w:gridCol w:w="99"/>
        <w:gridCol w:w="199"/>
        <w:gridCol w:w="232"/>
        <w:gridCol w:w="1136"/>
        <w:gridCol w:w="60"/>
        <w:gridCol w:w="120"/>
        <w:gridCol w:w="169"/>
        <w:gridCol w:w="826"/>
        <w:gridCol w:w="60"/>
        <w:gridCol w:w="120"/>
        <w:gridCol w:w="152"/>
        <w:gridCol w:w="963"/>
        <w:gridCol w:w="29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1"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01"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68,025</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22,171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45,854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207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Research and development expenses for the three months ended June 30, 2024, compared to the same period in 2023, was primarily due to $42.2 million of stock-based compensation expense related to RSUs for which the performance-based vesting condition was satisfied in connection with our IPO, an increase of $0.7 million in validation and regulatory fees, and an increase of $1.5 million in personnel-related costs for employees in our research and development group. </w:t>
      </w:r>
    </w:p>
    <w:p>
      <w:pPr>
        <w:pStyle w:val="TextBody"/>
        <w:bidi w:val="0"/>
        <w:spacing w:before="360" w:after="0"/>
        <w:jc w:val="left"/>
        <w:rPr>
          <w:rFonts w:ascii="Times New Roman" w:hAnsi="Times New Roman"/>
          <w:i/>
          <w:sz w:val="20"/>
        </w:rPr>
      </w:pPr>
      <w:r>
        <w:rPr>
          <w:rFonts w:ascii="Times New Roman" w:hAnsi="Times New Roman"/>
          <w:i/>
          <w:sz w:val="20"/>
        </w:rPr>
        <w:t xml:space="preserve">Technology Research and Development </w:t>
      </w:r>
    </w:p>
    <w:p>
      <w:pPr>
        <w:pStyle w:val="TextBody"/>
        <w:bidi w:val="0"/>
        <w:spacing w:before="0" w:after="0"/>
        <w:jc w:val="left"/>
        <w:rPr/>
      </w:pPr>
      <w:r>
        <w:rPr/>
        <w:t> </w:t>
      </w:r>
    </w:p>
    <w:tbl>
      <w:tblPr>
        <w:tblW w:w="9096" w:type="dxa"/>
        <w:jc w:val="left"/>
        <w:tblInd w:w="0" w:type="dxa"/>
        <w:tblLayout w:type="fixed"/>
        <w:tblCellMar>
          <w:top w:w="0" w:type="dxa"/>
          <w:left w:w="0" w:type="dxa"/>
          <w:bottom w:w="0" w:type="dxa"/>
          <w:right w:w="0" w:type="dxa"/>
        </w:tblCellMar>
      </w:tblPr>
      <w:tblGrid>
        <w:gridCol w:w="3185"/>
        <w:gridCol w:w="120"/>
        <w:gridCol w:w="232"/>
        <w:gridCol w:w="1133"/>
        <w:gridCol w:w="99"/>
        <w:gridCol w:w="199"/>
        <w:gridCol w:w="232"/>
        <w:gridCol w:w="1136"/>
        <w:gridCol w:w="60"/>
        <w:gridCol w:w="120"/>
        <w:gridCol w:w="169"/>
        <w:gridCol w:w="826"/>
        <w:gridCol w:w="60"/>
        <w:gridCol w:w="120"/>
        <w:gridCol w:w="152"/>
        <w:gridCol w:w="963"/>
        <w:gridCol w:w="290"/>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1"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01"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research and development</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77,908</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23,427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54,481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233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Technology research and development expenses for the three months ended June 30, 2024, compared to the same period in 2023, was primarily due to $50.4 million of stock-based compensation expense related to RSUs for which the performance-based vesting condition was satisfied in connection with our IPO, $1.2 million in taxes related to the settlement of RSUs, and an increase of $2.8 million in personnel-related costs associated with the investment in our cloud infrastructure and new lines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0" w:after="0"/>
        <w:jc w:val="left"/>
        <w:rPr/>
      </w:pPr>
      <w:r>
        <w:rPr/>
        <w:t> </w:t>
      </w:r>
    </w:p>
    <w:tbl>
      <w:tblPr>
        <w:tblW w:w="8782" w:type="dxa"/>
        <w:jc w:val="left"/>
        <w:tblInd w:w="0" w:type="dxa"/>
        <w:tblLayout w:type="fixed"/>
        <w:tblCellMar>
          <w:top w:w="0" w:type="dxa"/>
          <w:left w:w="0" w:type="dxa"/>
          <w:bottom w:w="0" w:type="dxa"/>
          <w:right w:w="0" w:type="dxa"/>
        </w:tblCellMar>
      </w:tblPr>
      <w:tblGrid>
        <w:gridCol w:w="2870"/>
        <w:gridCol w:w="120"/>
        <w:gridCol w:w="218"/>
        <w:gridCol w:w="1250"/>
        <w:gridCol w:w="93"/>
        <w:gridCol w:w="187"/>
        <w:gridCol w:w="218"/>
        <w:gridCol w:w="1066"/>
        <w:gridCol w:w="60"/>
        <w:gridCol w:w="120"/>
        <w:gridCol w:w="148"/>
        <w:gridCol w:w="847"/>
        <w:gridCol w:w="60"/>
        <w:gridCol w:w="120"/>
        <w:gridCol w:w="152"/>
        <w:gridCol w:w="963"/>
        <w:gridCol w:w="290"/>
      </w:tblGrid>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2"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02"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463,072</w:t>
            </w:r>
          </w:p>
        </w:tc>
        <w:tc>
          <w:tcPr>
            <w:tcW w:w="93"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6" w:type="dxa"/>
            <w:tcBorders/>
            <w:shd w:fill="CCEEFF" w:val="clear"/>
            <w:vAlign w:val="center"/>
          </w:tcPr>
          <w:p>
            <w:pPr>
              <w:pStyle w:val="TableContents"/>
              <w:bidi w:val="0"/>
              <w:spacing w:before="0" w:after="283"/>
              <w:jc w:val="right"/>
              <w:rPr/>
            </w:pPr>
            <w:r>
              <w:rPr/>
              <w:t>71,189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391,883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550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Selling, general and administrative expenses for the three months ended June 30, 2024, compared to the same period in 2023, was primarily due to $377.1 million of stock-based compensation expense related to RSUs for which the performance-based vesting condition was satisfied in connection with our IPO, $2.6 million in taxes related to the settlement of RSUs, and increases of $4.6 million in personnel-related costs, $1.2 million in software and tools costs, and $0.9 million in cloud storage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0" w:after="0"/>
        <w:jc w:val="left"/>
        <w:rPr/>
      </w:pPr>
      <w:r>
        <w:rPr/>
        <w:t> </w:t>
      </w:r>
    </w:p>
    <w:tbl>
      <w:tblPr>
        <w:tblW w:w="7228" w:type="dxa"/>
        <w:jc w:val="left"/>
        <w:tblInd w:w="0" w:type="dxa"/>
        <w:tblLayout w:type="fixed"/>
        <w:tblCellMar>
          <w:top w:w="0" w:type="dxa"/>
          <w:left w:w="0" w:type="dxa"/>
          <w:bottom w:w="0" w:type="dxa"/>
          <w:right w:w="0" w:type="dxa"/>
        </w:tblCellMar>
      </w:tblPr>
      <w:tblGrid>
        <w:gridCol w:w="1280"/>
        <w:gridCol w:w="120"/>
        <w:gridCol w:w="268"/>
        <w:gridCol w:w="1075"/>
        <w:gridCol w:w="114"/>
        <w:gridCol w:w="229"/>
        <w:gridCol w:w="268"/>
        <w:gridCol w:w="1079"/>
        <w:gridCol w:w="60"/>
        <w:gridCol w:w="120"/>
        <w:gridCol w:w="234"/>
        <w:gridCol w:w="761"/>
        <w:gridCol w:w="155"/>
        <w:gridCol w:w="60"/>
        <w:gridCol w:w="169"/>
        <w:gridCol w:w="946"/>
        <w:gridCol w:w="290"/>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5"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3"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8"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1,718</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1,957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(239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Interest income for the three months ended June 30, 2024, compared to the same period in 2023, was not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0" w:after="0"/>
        <w:jc w:val="left"/>
        <w:rPr/>
      </w:pPr>
      <w:r>
        <w:rPr/>
        <w:t> </w:t>
      </w:r>
    </w:p>
    <w:tbl>
      <w:tblPr>
        <w:tblW w:w="7322" w:type="dxa"/>
        <w:jc w:val="left"/>
        <w:tblInd w:w="0" w:type="dxa"/>
        <w:tblLayout w:type="fixed"/>
        <w:tblCellMar>
          <w:top w:w="0" w:type="dxa"/>
          <w:left w:w="0" w:type="dxa"/>
          <w:bottom w:w="0" w:type="dxa"/>
          <w:right w:w="0" w:type="dxa"/>
        </w:tblCellMar>
      </w:tblPr>
      <w:tblGrid>
        <w:gridCol w:w="1340"/>
        <w:gridCol w:w="120"/>
        <w:gridCol w:w="211"/>
        <w:gridCol w:w="1142"/>
        <w:gridCol w:w="233"/>
        <w:gridCol w:w="90"/>
        <w:gridCol w:w="211"/>
        <w:gridCol w:w="1145"/>
        <w:gridCol w:w="155"/>
        <w:gridCol w:w="60"/>
        <w:gridCol w:w="179"/>
        <w:gridCol w:w="816"/>
        <w:gridCol w:w="155"/>
        <w:gridCol w:w="60"/>
        <w:gridCol w:w="209"/>
        <w:gridCol w:w="906"/>
        <w:gridCol w:w="290"/>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5"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2" w:type="dxa"/>
            <w:gridSpan w:val="6"/>
            <w:tcBorders/>
            <w:vAlign w:val="center"/>
          </w:tcPr>
          <w:p>
            <w:pPr>
              <w:pStyle w:val="TableContents"/>
              <w:bidi w:val="0"/>
              <w:spacing w:before="0" w:after="283"/>
              <w:jc w:val="center"/>
              <w:rPr>
                <w:b/>
              </w:rPr>
            </w:pPr>
            <w:r>
              <w:rPr>
                <w:b/>
              </w:rPr>
              <w:t>(unaudited)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72"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2" w:type="dxa"/>
            <w:tcBorders/>
            <w:shd w:fill="CCEEFF" w:val="clear"/>
            <w:vAlign w:val="center"/>
          </w:tcPr>
          <w:p>
            <w:pPr>
              <w:pStyle w:val="TableContents"/>
              <w:bidi w:val="0"/>
              <w:spacing w:before="0" w:after="283"/>
              <w:jc w:val="right"/>
              <w:rPr/>
            </w:pPr>
            <w:r>
              <w:rPr/>
              <w:t>(13,295</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(11,712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(1,583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14</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Interest expense for the three months ended June 30, 2024, compared to the same period in 2023, was primarily driven by compounding interest on our Amended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(Expense) Income, net </w:t>
      </w:r>
    </w:p>
    <w:p>
      <w:pPr>
        <w:pStyle w:val="TextBody"/>
        <w:bidi w:val="0"/>
        <w:spacing w:before="0" w:after="0"/>
        <w:jc w:val="left"/>
        <w:rPr/>
      </w:pPr>
      <w:r>
        <w:rPr/>
        <w:t> </w:t>
      </w:r>
    </w:p>
    <w:tbl>
      <w:tblPr>
        <w:tblW w:w="8852" w:type="dxa"/>
        <w:jc w:val="left"/>
        <w:tblInd w:w="0" w:type="dxa"/>
        <w:tblLayout w:type="fixed"/>
        <w:tblCellMar>
          <w:top w:w="0" w:type="dxa"/>
          <w:left w:w="0" w:type="dxa"/>
          <w:bottom w:w="0" w:type="dxa"/>
          <w:right w:w="0" w:type="dxa"/>
        </w:tblCellMar>
      </w:tblPr>
      <w:tblGrid>
        <w:gridCol w:w="2300"/>
        <w:gridCol w:w="120"/>
        <w:gridCol w:w="317"/>
        <w:gridCol w:w="1443"/>
        <w:gridCol w:w="351"/>
        <w:gridCol w:w="135"/>
        <w:gridCol w:w="317"/>
        <w:gridCol w:w="1039"/>
        <w:gridCol w:w="155"/>
        <w:gridCol w:w="60"/>
        <w:gridCol w:w="179"/>
        <w:gridCol w:w="816"/>
        <w:gridCol w:w="155"/>
        <w:gridCol w:w="60"/>
        <w:gridCol w:w="152"/>
        <w:gridCol w:w="963"/>
        <w:gridCol w:w="29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02" w:type="dxa"/>
            <w:gridSpan w:val="6"/>
            <w:tcBorders>
              <w:bottom w:val="single" w:sz="8" w:space="0" w:color="000000"/>
            </w:tcBorders>
            <w:tcMar>
              <w:bottom w:w="28" w:type="dxa"/>
            </w:tcMar>
            <w:vAlign w:val="center"/>
          </w:tcPr>
          <w:p>
            <w:pPr>
              <w:pStyle w:val="TableContents"/>
              <w:bidi w:val="0"/>
              <w:spacing w:before="0" w:after="283"/>
              <w:jc w:val="center"/>
              <w:rPr/>
            </w:pPr>
            <w:r>
              <w:rPr/>
              <w:t>  </w:t>
            </w:r>
            <w:r>
              <w:rPr>
                <w:b/>
              </w:rPr>
              <w:t>Three months ended June 30, 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5"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5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02" w:type="dxa"/>
            <w:gridSpan w:val="6"/>
            <w:tcBorders/>
            <w:vAlign w:val="center"/>
          </w:tcPr>
          <w:p>
            <w:pPr>
              <w:pStyle w:val="TableContents"/>
              <w:bidi w:val="0"/>
              <w:spacing w:before="0" w:after="283"/>
              <w:jc w:val="center"/>
              <w:rPr>
                <w:b/>
              </w:rPr>
            </w:pPr>
            <w:r>
              <w:rPr>
                <w:b/>
              </w:rPr>
              <w:t>(unaudited)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42"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2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w:t>
            </w:r>
          </w:p>
        </w:tc>
        <w:tc>
          <w:tcPr>
            <w:tcW w:w="1443" w:type="dxa"/>
            <w:tcBorders/>
            <w:shd w:fill="CCEEFF" w:val="clear"/>
            <w:vAlign w:val="center"/>
          </w:tcPr>
          <w:p>
            <w:pPr>
              <w:pStyle w:val="TableContents"/>
              <w:bidi w:val="0"/>
              <w:spacing w:before="0" w:after="283"/>
              <w:jc w:val="right"/>
              <w:rPr/>
            </w:pPr>
            <w:r>
              <w:rPr/>
              <w:t>(7,048</w:t>
            </w:r>
          </w:p>
        </w:tc>
        <w:tc>
          <w:tcPr>
            <w:tcW w:w="35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(6,282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820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 in Other (expense) income, net for the three months ended June 30, 2024, compared to the same period in 2023, was primarily driven by $3.7 million in expense related to unrealized losses on marketable equity securities, $3.0 million in expense related to the change in fair value of our warrant asset, and a $2.3 million expense for payments to holders of Series G-4 Preferred in an amount equal to 5% of the per share price for each share of Series G-4 preferred stock purchased by such holder, or the Series G-4 Special Payment. These increases in expense were offset by a $2.4 million increase in income related to the change in fair value of our warrant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0" w:after="0"/>
        <w:jc w:val="left"/>
        <w:rPr/>
      </w:pPr>
      <w:r>
        <w:rPr/>
        <w:t> </w:t>
      </w:r>
    </w:p>
    <w:tbl>
      <w:tblPr>
        <w:tblW w:w="8178" w:type="dxa"/>
        <w:jc w:val="left"/>
        <w:tblInd w:w="0" w:type="dxa"/>
        <w:tblLayout w:type="fixed"/>
        <w:tblCellMar>
          <w:top w:w="0" w:type="dxa"/>
          <w:left w:w="0" w:type="dxa"/>
          <w:bottom w:w="0" w:type="dxa"/>
          <w:right w:w="0" w:type="dxa"/>
        </w:tblCellMar>
      </w:tblPr>
      <w:tblGrid>
        <w:gridCol w:w="2195"/>
        <w:gridCol w:w="120"/>
        <w:gridCol w:w="406"/>
        <w:gridCol w:w="972"/>
        <w:gridCol w:w="449"/>
        <w:gridCol w:w="173"/>
        <w:gridCol w:w="406"/>
        <w:gridCol w:w="627"/>
        <w:gridCol w:w="155"/>
        <w:gridCol w:w="60"/>
        <w:gridCol w:w="293"/>
        <w:gridCol w:w="702"/>
        <w:gridCol w:w="155"/>
        <w:gridCol w:w="60"/>
        <w:gridCol w:w="119"/>
        <w:gridCol w:w="996"/>
        <w:gridCol w:w="290"/>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5"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44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3" w:type="dxa"/>
            <w:gridSpan w:val="6"/>
            <w:tcBorders/>
            <w:vAlign w:val="center"/>
          </w:tcPr>
          <w:p>
            <w:pPr>
              <w:pStyle w:val="TableContents"/>
              <w:bidi w:val="0"/>
              <w:spacing w:before="0" w:after="283"/>
              <w:jc w:val="center"/>
              <w:rPr>
                <w:b/>
              </w:rPr>
            </w:pPr>
            <w:r>
              <w:rPr>
                <w:b/>
              </w:rPr>
              <w:t>(unaudited)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73"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(95</w:t>
            </w:r>
          </w:p>
        </w:tc>
        <w:tc>
          <w:tcPr>
            <w:tcW w:w="44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p>
        </w:tc>
        <w:tc>
          <w:tcPr>
            <w:tcW w:w="627"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3067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provision for income taxes for the three months ended June 30, 2024, compared to the same period in 2023, was not 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Losses from Equity Method Investments </w:t>
      </w:r>
    </w:p>
    <w:p>
      <w:pPr>
        <w:pStyle w:val="TextBody"/>
        <w:bidi w:val="0"/>
        <w:spacing w:before="0" w:after="0"/>
        <w:jc w:val="left"/>
        <w:rPr/>
      </w:pPr>
      <w:r>
        <w:rPr/>
        <w:t> </w:t>
      </w:r>
    </w:p>
    <w:tbl>
      <w:tblPr>
        <w:tblW w:w="9194" w:type="dxa"/>
        <w:jc w:val="left"/>
        <w:tblInd w:w="0" w:type="dxa"/>
        <w:tblLayout w:type="fixed"/>
        <w:tblCellMar>
          <w:top w:w="0" w:type="dxa"/>
          <w:left w:w="0" w:type="dxa"/>
          <w:bottom w:w="0" w:type="dxa"/>
          <w:right w:w="0" w:type="dxa"/>
        </w:tblCellMar>
      </w:tblPr>
      <w:tblGrid>
        <w:gridCol w:w="3245"/>
        <w:gridCol w:w="120"/>
        <w:gridCol w:w="361"/>
        <w:gridCol w:w="671"/>
        <w:gridCol w:w="154"/>
        <w:gridCol w:w="309"/>
        <w:gridCol w:w="361"/>
        <w:gridCol w:w="1178"/>
        <w:gridCol w:w="155"/>
        <w:gridCol w:w="60"/>
        <w:gridCol w:w="267"/>
        <w:gridCol w:w="728"/>
        <w:gridCol w:w="60"/>
        <w:gridCol w:w="120"/>
        <w:gridCol w:w="129"/>
        <w:gridCol w:w="986"/>
        <w:gridCol w:w="29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4"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4" w:type="dxa"/>
            <w:gridSpan w:val="6"/>
            <w:tcBorders/>
            <w:vAlign w:val="center"/>
          </w:tcPr>
          <w:p>
            <w:pPr>
              <w:pStyle w:val="TableContents"/>
              <w:bidi w:val="0"/>
              <w:spacing w:before="0" w:after="283"/>
              <w:jc w:val="center"/>
              <w:rPr>
                <w:b/>
              </w:rPr>
            </w:pPr>
            <w:r>
              <w:rPr>
                <w:b/>
              </w:rPr>
              <w:t>(unaudited)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9"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Losses from equity method investments</w:t>
            </w:r>
          </w:p>
        </w:tc>
        <w:tc>
          <w:tcPr>
            <w:tcW w:w="12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671"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losses from equity method investments for the three months ended June 30, 2024, compared to the same period in 2023, was due to the exhaustion of our investment in the joint venture we entered into in September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Comparison of the Six months Ended June 30, 2024 and 2023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0" w:after="0"/>
        <w:jc w:val="left"/>
        <w:rPr/>
      </w:pPr>
      <w:r>
        <w:rPr/>
        <w:t> </w:t>
      </w:r>
    </w:p>
    <w:tbl>
      <w:tblPr>
        <w:tblW w:w="7178" w:type="dxa"/>
        <w:jc w:val="left"/>
        <w:tblInd w:w="0" w:type="dxa"/>
        <w:tblLayout w:type="fixed"/>
        <w:tblCellMar>
          <w:top w:w="0" w:type="dxa"/>
          <w:left w:w="0" w:type="dxa"/>
          <w:bottom w:w="0" w:type="dxa"/>
          <w:right w:w="0" w:type="dxa"/>
        </w:tblCellMar>
      </w:tblPr>
      <w:tblGrid>
        <w:gridCol w:w="1565"/>
        <w:gridCol w:w="120"/>
        <w:gridCol w:w="185"/>
        <w:gridCol w:w="1061"/>
        <w:gridCol w:w="78"/>
        <w:gridCol w:w="158"/>
        <w:gridCol w:w="185"/>
        <w:gridCol w:w="1066"/>
        <w:gridCol w:w="60"/>
        <w:gridCol w:w="120"/>
        <w:gridCol w:w="169"/>
        <w:gridCol w:w="826"/>
        <w:gridCol w:w="60"/>
        <w:gridCol w:w="120"/>
        <w:gridCol w:w="209"/>
        <w:gridCol w:w="906"/>
        <w:gridCol w:w="290"/>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3"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Genomics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214,893</w:t>
            </w:r>
          </w:p>
        </w:tc>
        <w:tc>
          <w:tcPr>
            <w:tcW w:w="7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6" w:type="dxa"/>
            <w:tcBorders/>
            <w:shd w:fill="CCEEFF" w:val="clear"/>
            <w:vAlign w:val="center"/>
          </w:tcPr>
          <w:p>
            <w:pPr>
              <w:pStyle w:val="TableContents"/>
              <w:bidi w:val="0"/>
              <w:spacing w:before="0" w:after="283"/>
              <w:jc w:val="right"/>
              <w:rPr/>
            </w:pPr>
            <w:r>
              <w:rPr/>
              <w:t>173,982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40,911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24</w:t>
            </w:r>
          </w:p>
        </w:tc>
        <w:tc>
          <w:tcPr>
            <w:tcW w:w="290"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services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96,896</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74,059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22,837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31</w:t>
            </w:r>
          </w:p>
        </w:tc>
        <w:tc>
          <w:tcPr>
            <w:tcW w:w="29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1061"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106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8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90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311,789</w:t>
            </w:r>
          </w:p>
        </w:tc>
        <w:tc>
          <w:tcPr>
            <w:tcW w:w="7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6" w:type="dxa"/>
            <w:tcBorders/>
            <w:shd w:fill="CCEEFF" w:val="clear"/>
            <w:vAlign w:val="center"/>
          </w:tcPr>
          <w:p>
            <w:pPr>
              <w:pStyle w:val="TableContents"/>
              <w:bidi w:val="0"/>
              <w:spacing w:before="0" w:after="283"/>
              <w:jc w:val="right"/>
              <w:rPr/>
            </w:pPr>
            <w:r>
              <w:rPr/>
              <w:t>248,041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63,748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26</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revenue for the six months ended June 30, 2024, compared to the same period in 2023, was due to increased volume and reimbursement of clinical oncology tests performed in Genomics and increased data deliveries in our Data and Services product line. </w:t>
      </w:r>
    </w:p>
    <w:p>
      <w:pPr>
        <w:pStyle w:val="TextBody"/>
        <w:bidi w:val="0"/>
        <w:spacing w:before="360" w:after="0"/>
        <w:jc w:val="left"/>
        <w:rPr>
          <w:rFonts w:ascii="Times New Roman" w:hAnsi="Times New Roman"/>
          <w:i/>
          <w:sz w:val="20"/>
        </w:rPr>
      </w:pPr>
      <w:r>
        <w:rPr>
          <w:rFonts w:ascii="Times New Roman" w:hAnsi="Times New Roman"/>
          <w:i/>
          <w:sz w:val="20"/>
        </w:rPr>
        <w:t xml:space="preserve">Genomics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genomics revenue for the six months ended June 30, 2024, compared to the same period in 2023, was primarily due to an increase in the number of oncology NGS tests, which increased from approximately 103,700 tests for the six months ended June 30, 2023 to approximately 129,200 tests for the six months ended June 30, 2024. Also contributing to the increase was the release of $1.2 million for the six months ended June 30, 2024 on a revenue reserve recorded for risks of future reversal of consideration associated with certain government payers, as the risk period the reserve covered has begun to lapse, as compared to an increase of $4.5 million on the same reserve for the six months ended June 30, 2023.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Data and services revenue for the six months ended June 30, 2024, compared to the same period in 2023, was driven primarily by $20.1 million from increased demand for our Insights products. Across all Data and services products, the increase in revenue in the six months ended June 30, 2024 is primarily attributable to continued growth from within our existing customer base, as well as adoption of our services by new customers that did not purchase services in the six months ended June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Cost and 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Cost of Revenues </w:t>
      </w:r>
    </w:p>
    <w:p>
      <w:pPr>
        <w:pStyle w:val="TextBody"/>
        <w:bidi w:val="0"/>
        <w:spacing w:before="0" w:after="0"/>
        <w:jc w:val="left"/>
        <w:rPr/>
      </w:pPr>
      <w:r>
        <w:rPr/>
        <w:t> </w:t>
      </w:r>
    </w:p>
    <w:tbl>
      <w:tblPr>
        <w:tblW w:w="8468" w:type="dxa"/>
        <w:jc w:val="left"/>
        <w:tblInd w:w="0" w:type="dxa"/>
        <w:tblLayout w:type="fixed"/>
        <w:tblCellMar>
          <w:top w:w="0" w:type="dxa"/>
          <w:left w:w="0" w:type="dxa"/>
          <w:bottom w:w="0" w:type="dxa"/>
          <w:right w:w="0" w:type="dxa"/>
        </w:tblCellMar>
      </w:tblPr>
      <w:tblGrid>
        <w:gridCol w:w="2855"/>
        <w:gridCol w:w="120"/>
        <w:gridCol w:w="185"/>
        <w:gridCol w:w="1061"/>
        <w:gridCol w:w="78"/>
        <w:gridCol w:w="158"/>
        <w:gridCol w:w="185"/>
        <w:gridCol w:w="1066"/>
        <w:gridCol w:w="60"/>
        <w:gridCol w:w="120"/>
        <w:gridCol w:w="169"/>
        <w:gridCol w:w="826"/>
        <w:gridCol w:w="60"/>
        <w:gridCol w:w="120"/>
        <w:gridCol w:w="209"/>
        <w:gridCol w:w="906"/>
        <w:gridCol w:w="290"/>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3"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 genomics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121,159</w:t>
            </w:r>
          </w:p>
        </w:tc>
        <w:tc>
          <w:tcPr>
            <w:tcW w:w="7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6" w:type="dxa"/>
            <w:tcBorders/>
            <w:shd w:fill="CCEEFF" w:val="clear"/>
            <w:vAlign w:val="center"/>
          </w:tcPr>
          <w:p>
            <w:pPr>
              <w:pStyle w:val="TableContents"/>
              <w:bidi w:val="0"/>
              <w:spacing w:before="0" w:after="283"/>
              <w:jc w:val="right"/>
              <w:rPr/>
            </w:pPr>
            <w:r>
              <w:rPr/>
              <w:t>92,241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28,918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31</w:t>
            </w:r>
          </w:p>
        </w:tc>
        <w:tc>
          <w:tcPr>
            <w:tcW w:w="29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 data and services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37,420</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25,200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12,220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48</w:t>
            </w:r>
          </w:p>
        </w:tc>
        <w:tc>
          <w:tcPr>
            <w:tcW w:w="29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1061"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106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8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90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158,579</w:t>
            </w:r>
          </w:p>
        </w:tc>
        <w:tc>
          <w:tcPr>
            <w:tcW w:w="7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6" w:type="dxa"/>
            <w:tcBorders/>
            <w:shd w:fill="CCEEFF" w:val="clear"/>
            <w:vAlign w:val="center"/>
          </w:tcPr>
          <w:p>
            <w:pPr>
              <w:pStyle w:val="TableContents"/>
              <w:bidi w:val="0"/>
              <w:spacing w:before="0" w:after="283"/>
              <w:jc w:val="right"/>
              <w:rPr/>
            </w:pPr>
            <w:r>
              <w:rPr/>
              <w:t>117,441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41,138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35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Cost of revenues for the six months ended June 30, 2024, compared to the same period in 2023, was primarily due to $18.5 million of stock-based compensation expense related to RSUs for which the performance-based vesting condition was satisfied in connection with our IPO, an increase of $6.9 million in material and service costs, $7.0 million in personnel costs, and $3.1 million in cloud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Revenues, Genomics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Cost of revenues, Genomics for the six months ended June 30, 2024, compared to the same period in 2023, was primarily due to $11.3 million of stock-based compensation expense related to RSUs for which the performance-based vesting condition was satisfied in connection with our IPO, an increase of $6.9 million in material and service costs, $6.2 million in personnel costs and $1.0 million in cloud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Revenues, Data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Cost of revenues, Data and services for the six months ended June 30, 2024, compared to the same period in 2023, was primarily due to $7.2 million of stock-based compensation expense related to RSUs for which the performance-based vesting condition was satisfied in connection with our IPO, as well as an increase of $2.1 million in cloud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0" w:after="0"/>
        <w:jc w:val="left"/>
        <w:rPr/>
      </w:pPr>
      <w:r>
        <w:rPr/>
        <w:t> </w:t>
      </w:r>
    </w:p>
    <w:tbl>
      <w:tblPr>
        <w:tblW w:w="7903" w:type="dxa"/>
        <w:jc w:val="left"/>
        <w:tblInd w:w="0" w:type="dxa"/>
        <w:tblLayout w:type="fixed"/>
        <w:tblCellMar>
          <w:top w:w="0" w:type="dxa"/>
          <w:left w:w="0" w:type="dxa"/>
          <w:bottom w:w="0" w:type="dxa"/>
          <w:right w:w="0" w:type="dxa"/>
        </w:tblCellMar>
      </w:tblPr>
      <w:tblGrid>
        <w:gridCol w:w="2225"/>
        <w:gridCol w:w="120"/>
        <w:gridCol w:w="165"/>
        <w:gridCol w:w="1094"/>
        <w:gridCol w:w="70"/>
        <w:gridCol w:w="142"/>
        <w:gridCol w:w="165"/>
        <w:gridCol w:w="1097"/>
        <w:gridCol w:w="60"/>
        <w:gridCol w:w="120"/>
        <w:gridCol w:w="140"/>
        <w:gridCol w:w="920"/>
        <w:gridCol w:w="60"/>
        <w:gridCol w:w="120"/>
        <w:gridCol w:w="152"/>
        <w:gridCol w:w="963"/>
        <w:gridCol w:w="29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5"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8"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  </w:t>
            </w:r>
            <w:r>
              <w:rPr/>
              <w:t>92,365</w:t>
            </w:r>
          </w:p>
        </w:tc>
        <w:tc>
          <w:tcPr>
            <w:tcW w:w="7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  </w:t>
            </w:r>
            <w:r>
              <w:rPr/>
              <w:t>43,034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r>
              <w:rPr/>
              <w:t>49,331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115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Research and development expenses for the six months ended June 30, 2024, compared to the same period in 2023, was primarily due to $42.2 million of stock-based compensation expenses related to RSUs for which the performance-based vesting condition was satisfied in connection with our IPO, and increases of $1.6 million in validation and regulatory fees and $3.9 million in personnel-related costs for employees in our research and development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Technology Research and Development </w:t>
      </w:r>
    </w:p>
    <w:p>
      <w:pPr>
        <w:pStyle w:val="TextBody"/>
        <w:bidi w:val="0"/>
        <w:spacing w:before="0" w:after="0"/>
        <w:jc w:val="left"/>
        <w:rPr/>
      </w:pPr>
      <w:r>
        <w:rPr/>
        <w:t> </w:t>
      </w:r>
    </w:p>
    <w:tbl>
      <w:tblPr>
        <w:tblW w:w="8797" w:type="dxa"/>
        <w:jc w:val="left"/>
        <w:tblInd w:w="0" w:type="dxa"/>
        <w:tblLayout w:type="fixed"/>
        <w:tblCellMar>
          <w:top w:w="0" w:type="dxa"/>
          <w:left w:w="0" w:type="dxa"/>
          <w:bottom w:w="0" w:type="dxa"/>
          <w:right w:w="0" w:type="dxa"/>
        </w:tblCellMar>
      </w:tblPr>
      <w:tblGrid>
        <w:gridCol w:w="3185"/>
        <w:gridCol w:w="120"/>
        <w:gridCol w:w="197"/>
        <w:gridCol w:w="1127"/>
        <w:gridCol w:w="83"/>
        <w:gridCol w:w="168"/>
        <w:gridCol w:w="197"/>
        <w:gridCol w:w="960"/>
        <w:gridCol w:w="60"/>
        <w:gridCol w:w="120"/>
        <w:gridCol w:w="169"/>
        <w:gridCol w:w="826"/>
        <w:gridCol w:w="60"/>
        <w:gridCol w:w="120"/>
        <w:gridCol w:w="152"/>
        <w:gridCol w:w="963"/>
        <w:gridCol w:w="290"/>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2"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research and development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27" w:type="dxa"/>
            <w:tcBorders/>
            <w:shd w:fill="CCEEFF" w:val="clear"/>
            <w:vAlign w:val="center"/>
          </w:tcPr>
          <w:p>
            <w:pPr>
              <w:pStyle w:val="TableContents"/>
              <w:bidi w:val="0"/>
              <w:spacing w:before="0" w:after="283"/>
              <w:jc w:val="right"/>
              <w:rPr/>
            </w:pPr>
            <w:r>
              <w:rPr/>
              <w:t>104,975</w:t>
            </w:r>
          </w:p>
        </w:tc>
        <w:tc>
          <w:tcPr>
            <w:tcW w:w="83"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46,329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58,646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127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Technology research and development expenses for the six months ended June 30, 2024, compared to the same period in 2023, was primarily due to $50.4 million of stock-based compensation expenses related to RSUs for which the performance-based vesting condition was satisfied in connection with our IPO, $1.2 million in taxes related to the settlement of RSUs, and an increase of $7.0 million in personnel-related costs associated with the investment in our cloud infrastructure and new lines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0" w:after="0"/>
        <w:jc w:val="left"/>
        <w:rPr/>
      </w:pPr>
      <w:r>
        <w:rPr/>
        <w:t> </w:t>
      </w:r>
    </w:p>
    <w:tbl>
      <w:tblPr>
        <w:tblW w:w="8483" w:type="dxa"/>
        <w:jc w:val="left"/>
        <w:tblInd w:w="0" w:type="dxa"/>
        <w:tblLayout w:type="fixed"/>
        <w:tblCellMar>
          <w:top w:w="0" w:type="dxa"/>
          <w:left w:w="0" w:type="dxa"/>
          <w:bottom w:w="0" w:type="dxa"/>
          <w:right w:w="0" w:type="dxa"/>
        </w:tblCellMar>
      </w:tblPr>
      <w:tblGrid>
        <w:gridCol w:w="2870"/>
        <w:gridCol w:w="120"/>
        <w:gridCol w:w="185"/>
        <w:gridCol w:w="1061"/>
        <w:gridCol w:w="78"/>
        <w:gridCol w:w="158"/>
        <w:gridCol w:w="185"/>
        <w:gridCol w:w="1066"/>
        <w:gridCol w:w="60"/>
        <w:gridCol w:w="120"/>
        <w:gridCol w:w="148"/>
        <w:gridCol w:w="847"/>
        <w:gridCol w:w="60"/>
        <w:gridCol w:w="120"/>
        <w:gridCol w:w="152"/>
        <w:gridCol w:w="963"/>
        <w:gridCol w:w="290"/>
      </w:tblGrid>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3"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542,636</w:t>
            </w:r>
          </w:p>
        </w:tc>
        <w:tc>
          <w:tcPr>
            <w:tcW w:w="7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6" w:type="dxa"/>
            <w:tcBorders/>
            <w:shd w:fill="CCEEFF" w:val="clear"/>
            <w:vAlign w:val="center"/>
          </w:tcPr>
          <w:p>
            <w:pPr>
              <w:pStyle w:val="TableContents"/>
              <w:bidi w:val="0"/>
              <w:spacing w:before="0" w:after="283"/>
              <w:jc w:val="right"/>
              <w:rPr/>
            </w:pPr>
            <w:r>
              <w:rPr/>
              <w:t>140,236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402,400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287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Selling, general and administrative expenses for the six months ended June 30, 2024, compared to the same period in 2023, was primarily due to $377.1 million of stock-based compensation expenses related to RSUs for which the performance-based vesting condition was satisfied in connection with our IPO, $2.6 million in taxes related to the settlement of RSUs, and increases of $7.2 million in personnel-related costs, $3.2 million in software and tools costs, and $4.4 million in cloud storage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0" w:after="0"/>
        <w:jc w:val="left"/>
        <w:rPr/>
      </w:pPr>
      <w:r>
        <w:rPr/>
        <w:t> </w:t>
      </w:r>
    </w:p>
    <w:tbl>
      <w:tblPr>
        <w:tblW w:w="6928" w:type="dxa"/>
        <w:jc w:val="left"/>
        <w:tblInd w:w="0" w:type="dxa"/>
        <w:tblLayout w:type="fixed"/>
        <w:tblCellMar>
          <w:top w:w="0" w:type="dxa"/>
          <w:left w:w="0" w:type="dxa"/>
          <w:bottom w:w="0" w:type="dxa"/>
          <w:right w:w="0" w:type="dxa"/>
        </w:tblCellMar>
      </w:tblPr>
      <w:tblGrid>
        <w:gridCol w:w="1280"/>
        <w:gridCol w:w="120"/>
        <w:gridCol w:w="242"/>
        <w:gridCol w:w="969"/>
        <w:gridCol w:w="103"/>
        <w:gridCol w:w="207"/>
        <w:gridCol w:w="242"/>
        <w:gridCol w:w="970"/>
        <w:gridCol w:w="60"/>
        <w:gridCol w:w="120"/>
        <w:gridCol w:w="179"/>
        <w:gridCol w:w="816"/>
        <w:gridCol w:w="155"/>
        <w:gridCol w:w="60"/>
        <w:gridCol w:w="169"/>
        <w:gridCol w:w="946"/>
        <w:gridCol w:w="290"/>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5"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8"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2,749</w:t>
            </w:r>
          </w:p>
        </w:tc>
        <w:tc>
          <w:tcPr>
            <w:tcW w:w="103"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4,381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(1,632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Interest income for the six months ended June 30, 2024, compared to the same period in 2023, was primarily due to the interest rate decreases by the U.S. Federal 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0" w:after="0"/>
        <w:jc w:val="left"/>
        <w:rPr/>
      </w:pPr>
      <w:r>
        <w:rPr/>
        <w:t> </w:t>
      </w:r>
    </w:p>
    <w:tbl>
      <w:tblPr>
        <w:tblW w:w="7022" w:type="dxa"/>
        <w:jc w:val="left"/>
        <w:tblInd w:w="0" w:type="dxa"/>
        <w:tblLayout w:type="fixed"/>
        <w:tblCellMar>
          <w:top w:w="0" w:type="dxa"/>
          <w:left w:w="0" w:type="dxa"/>
          <w:bottom w:w="0" w:type="dxa"/>
          <w:right w:w="0" w:type="dxa"/>
        </w:tblCellMar>
      </w:tblPr>
      <w:tblGrid>
        <w:gridCol w:w="1340"/>
        <w:gridCol w:w="120"/>
        <w:gridCol w:w="190"/>
        <w:gridCol w:w="1029"/>
        <w:gridCol w:w="210"/>
        <w:gridCol w:w="81"/>
        <w:gridCol w:w="190"/>
        <w:gridCol w:w="1032"/>
        <w:gridCol w:w="155"/>
        <w:gridCol w:w="60"/>
        <w:gridCol w:w="179"/>
        <w:gridCol w:w="816"/>
        <w:gridCol w:w="155"/>
        <w:gridCol w:w="60"/>
        <w:gridCol w:w="209"/>
        <w:gridCol w:w="906"/>
        <w:gridCol w:w="290"/>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5"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b/>
              </w:rPr>
            </w:pPr>
            <w:r>
              <w:rPr>
                <w:b/>
              </w:rPr>
              <w:t>(unaudited)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72"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(26,533</w:t>
            </w:r>
          </w:p>
        </w:tc>
        <w:tc>
          <w:tcPr>
            <w:tcW w:w="2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2" w:type="dxa"/>
            <w:tcBorders/>
            <w:shd w:fill="CCEEFF" w:val="clear"/>
            <w:vAlign w:val="center"/>
          </w:tcPr>
          <w:p>
            <w:pPr>
              <w:pStyle w:val="TableContents"/>
              <w:bidi w:val="0"/>
              <w:spacing w:before="0" w:after="283"/>
              <w:jc w:val="right"/>
              <w:rPr/>
            </w:pPr>
            <w:r>
              <w:rPr/>
              <w:t>(20,903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(5,630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Interest expense for the six months ended June 30, 2024, compared to the same period in 2023, was primarily driven by compounding interest on our Amended Note and additional debt entered into under our Term Loan Facility in April and October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(Expense) Income, net </w:t>
      </w:r>
    </w:p>
    <w:p>
      <w:pPr>
        <w:pStyle w:val="TextBody"/>
        <w:bidi w:val="0"/>
        <w:spacing w:before="0" w:after="0"/>
        <w:jc w:val="left"/>
        <w:rPr/>
      </w:pPr>
      <w:r>
        <w:rPr/>
        <w:t> </w:t>
      </w:r>
    </w:p>
    <w:tbl>
      <w:tblPr>
        <w:tblW w:w="7946" w:type="dxa"/>
        <w:jc w:val="left"/>
        <w:tblInd w:w="0" w:type="dxa"/>
        <w:tblLayout w:type="fixed"/>
        <w:tblCellMar>
          <w:top w:w="0" w:type="dxa"/>
          <w:left w:w="0" w:type="dxa"/>
          <w:bottom w:w="0" w:type="dxa"/>
          <w:right w:w="0" w:type="dxa"/>
        </w:tblCellMar>
      </w:tblPr>
      <w:tblGrid>
        <w:gridCol w:w="2300"/>
        <w:gridCol w:w="120"/>
        <w:gridCol w:w="225"/>
        <w:gridCol w:w="1027"/>
        <w:gridCol w:w="250"/>
        <w:gridCol w:w="96"/>
        <w:gridCol w:w="225"/>
        <w:gridCol w:w="908"/>
        <w:gridCol w:w="60"/>
        <w:gridCol w:w="120"/>
        <w:gridCol w:w="155"/>
        <w:gridCol w:w="840"/>
        <w:gridCol w:w="155"/>
        <w:gridCol w:w="60"/>
        <w:gridCol w:w="129"/>
        <w:gridCol w:w="986"/>
        <w:gridCol w:w="29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5"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5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1" w:type="dxa"/>
            <w:gridSpan w:val="6"/>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6"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(6,299</w:t>
            </w:r>
          </w:p>
        </w:tc>
        <w:tc>
          <w:tcPr>
            <w:tcW w:w="25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908" w:type="dxa"/>
            <w:tcBorders/>
            <w:shd w:fill="CCEEFF" w:val="clear"/>
            <w:vAlign w:val="center"/>
          </w:tcPr>
          <w:p>
            <w:pPr>
              <w:pStyle w:val="TableContents"/>
              <w:bidi w:val="0"/>
              <w:spacing w:before="0" w:after="283"/>
              <w:jc w:val="right"/>
              <w:rPr/>
            </w:pPr>
            <w:r>
              <w:rPr/>
              <w:t>5,622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(11,921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-212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 in Other (expense) income, net for the six months ended June 30, 2024, compared to the same period in 2023, was primarily driven by a $7.7 million expense related to change in fair value of our warrant asset, a $4.8 million increase in expense related to the change in fair value of our warrant liability, and a $2.3 million expense for the Series G-4 Special Payment. These increases in expense were offset by $2.5 million in income related to gains on marketable equity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0" w:after="0"/>
        <w:jc w:val="left"/>
        <w:rPr/>
      </w:pPr>
      <w:r>
        <w:rPr/>
        <w:t> </w:t>
      </w:r>
    </w:p>
    <w:tbl>
      <w:tblPr>
        <w:tblW w:w="7878" w:type="dxa"/>
        <w:jc w:val="left"/>
        <w:tblInd w:w="0" w:type="dxa"/>
        <w:tblLayout w:type="fixed"/>
        <w:tblCellMar>
          <w:top w:w="0" w:type="dxa"/>
          <w:left w:w="0" w:type="dxa"/>
          <w:bottom w:w="0" w:type="dxa"/>
          <w:right w:w="0" w:type="dxa"/>
        </w:tblCellMar>
      </w:tblPr>
      <w:tblGrid>
        <w:gridCol w:w="2195"/>
        <w:gridCol w:w="120"/>
        <w:gridCol w:w="328"/>
        <w:gridCol w:w="1067"/>
        <w:gridCol w:w="362"/>
        <w:gridCol w:w="140"/>
        <w:gridCol w:w="328"/>
        <w:gridCol w:w="508"/>
        <w:gridCol w:w="155"/>
        <w:gridCol w:w="60"/>
        <w:gridCol w:w="293"/>
        <w:gridCol w:w="702"/>
        <w:gridCol w:w="155"/>
        <w:gridCol w:w="60"/>
        <w:gridCol w:w="119"/>
        <w:gridCol w:w="996"/>
        <w:gridCol w:w="290"/>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5"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6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vAlign w:val="center"/>
          </w:tcPr>
          <w:p>
            <w:pPr>
              <w:pStyle w:val="TableContents"/>
              <w:bidi w:val="0"/>
              <w:spacing w:before="0" w:after="283"/>
              <w:jc w:val="center"/>
              <w:rPr>
                <w:b/>
              </w:rPr>
            </w:pPr>
            <w:r>
              <w:rPr>
                <w:b/>
              </w:rPr>
              <w:t>(unaudited)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73"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(106</w:t>
            </w:r>
          </w:p>
        </w:tc>
        <w:tc>
          <w:tcPr>
            <w:tcW w:w="362"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08" w:type="dxa"/>
            <w:tcBorders/>
            <w:shd w:fill="CCEEFF" w:val="clear"/>
            <w:vAlign w:val="center"/>
          </w:tcPr>
          <w:p>
            <w:pPr>
              <w:pStyle w:val="TableContents"/>
              <w:bidi w:val="0"/>
              <w:spacing w:before="0" w:after="283"/>
              <w:jc w:val="right"/>
              <w:rPr/>
            </w:pPr>
            <w:r>
              <w:rPr/>
              <w:t>(9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1078</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provision for income taxes for the six months ended June 30, 2024, compared to the same period in 2023, was not 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Losses from Equity Method Investments </w:t>
      </w:r>
    </w:p>
    <w:p>
      <w:pPr>
        <w:pStyle w:val="TextBody"/>
        <w:bidi w:val="0"/>
        <w:spacing w:before="0" w:after="0"/>
        <w:jc w:val="left"/>
        <w:rPr/>
      </w:pPr>
      <w:r>
        <w:rPr/>
        <w:t> </w:t>
      </w:r>
    </w:p>
    <w:tbl>
      <w:tblPr>
        <w:tblW w:w="8894" w:type="dxa"/>
        <w:jc w:val="left"/>
        <w:tblInd w:w="0" w:type="dxa"/>
        <w:tblLayout w:type="fixed"/>
        <w:tblCellMar>
          <w:top w:w="0" w:type="dxa"/>
          <w:left w:w="0" w:type="dxa"/>
          <w:bottom w:w="0" w:type="dxa"/>
          <w:right w:w="0" w:type="dxa"/>
        </w:tblCellMar>
      </w:tblPr>
      <w:tblGrid>
        <w:gridCol w:w="3245"/>
        <w:gridCol w:w="120"/>
        <w:gridCol w:w="325"/>
        <w:gridCol w:w="604"/>
        <w:gridCol w:w="139"/>
        <w:gridCol w:w="279"/>
        <w:gridCol w:w="325"/>
        <w:gridCol w:w="1062"/>
        <w:gridCol w:w="155"/>
        <w:gridCol w:w="60"/>
        <w:gridCol w:w="267"/>
        <w:gridCol w:w="728"/>
        <w:gridCol w:w="60"/>
        <w:gridCol w:w="120"/>
        <w:gridCol w:w="129"/>
        <w:gridCol w:w="986"/>
        <w:gridCol w:w="29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9"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4" w:type="dxa"/>
            <w:gridSpan w:val="6"/>
            <w:tcBorders/>
            <w:vAlign w:val="center"/>
          </w:tcPr>
          <w:p>
            <w:pPr>
              <w:pStyle w:val="TableContents"/>
              <w:bidi w:val="0"/>
              <w:spacing w:before="0" w:after="283"/>
              <w:jc w:val="center"/>
              <w:rPr>
                <w:b/>
              </w:rPr>
            </w:pPr>
            <w:r>
              <w:rPr>
                <w:b/>
              </w:rPr>
              <w:t>(unaudited)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9" w:type="dxa"/>
            <w:gridSpan w:val="14"/>
            <w:tcBorders/>
            <w:vAlign w:val="center"/>
          </w:tcPr>
          <w:p>
            <w:pPr>
              <w:pStyle w:val="TableContents"/>
              <w:bidi w:val="0"/>
              <w:spacing w:before="0" w:after="283"/>
              <w:jc w:val="center"/>
              <w:rPr>
                <w:b/>
              </w:rPr>
            </w:pPr>
            <w:r>
              <w:rPr>
                <w:b/>
              </w:rPr>
              <w:t>(in thousands, except percentages)</w:t>
            </w:r>
          </w:p>
        </w:tc>
        <w:tc>
          <w:tcPr>
            <w:tcW w:w="29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Losses from equity method investments</w:t>
            </w:r>
          </w:p>
        </w:tc>
        <w:tc>
          <w:tcPr>
            <w:tcW w:w="12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(301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301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losses from equity method investments for the six months ended June 30, 2024, compared to the same period in 2023, was due to the exhaustion of our investment in the joint venture we entered into in September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 </w:t>
      </w:r>
    </w:p>
    <w:p>
      <w:pPr>
        <w:pStyle w:val="TextBody"/>
        <w:bidi w:val="0"/>
        <w:spacing w:before="120" w:after="0"/>
        <w:jc w:val="left"/>
        <w:rPr>
          <w:rFonts w:ascii="Times New Roman" w:hAnsi="Times New Roman"/>
          <w:sz w:val="20"/>
        </w:rPr>
      </w:pPr>
      <w:r>
        <w:rPr>
          <w:rFonts w:ascii="Times New Roman" w:hAnsi="Times New Roman"/>
          <w:sz w:val="20"/>
        </w:rPr>
        <w:t xml:space="preserve">To supplement our condensed consolidated financial statements prepared and presented in accordance with accounting principles generally accepted in the United States of America, or GAAP, we use adjusted EBITDA, as described below, to facilitate analysis of our financial and business trends and for internal planning and forecasting purposes. </w:t>
      </w:r>
    </w:p>
    <w:p>
      <w:pPr>
        <w:pStyle w:val="TextBody"/>
        <w:bidi w:val="0"/>
        <w:spacing w:before="240" w:after="0"/>
        <w:jc w:val="left"/>
        <w:rPr>
          <w:rFonts w:ascii="Times New Roman" w:hAnsi="Times New Roman"/>
          <w:sz w:val="20"/>
        </w:rPr>
      </w:pPr>
      <w:r>
        <w:rPr>
          <w:rFonts w:ascii="Times New Roman" w:hAnsi="Times New Roman"/>
          <w:sz w:val="20"/>
        </w:rPr>
        <w:t xml:space="preserve">EBITDA is defined as earnings before interest, taxes, depreciation and amortization. We define adjusted EBITDA as net income (loss), adjusted to exclude (i) interest income, (ii) interest expense, (iii) depreciation and amortization, (iv) provision for (benefit from)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and (ix) the G-4 Special Payment.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has limitations as a financial measure, should be considered as supplemental in nature, and is not meant as a substitute for, or superior to, the related financial information prepared in accordance with GAAP. Some of these limitations are that adjusted EBITDA: </w:t>
      </w:r>
    </w:p>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interest income which increases cash available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depreciation and amortization expense, and although these are non-cash expenses, the asset being depreciated may have to be replaced in the future, increasing our cash requirements;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provision for or benefit from income taxes that reduces cash available to us; and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change in fair value of warrant liabilities, contingent consideration and warrant asset.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our adjusted EBITDA, along with net loss, the most directly comparable GAAP measure, for each period presented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87"/>
        <w:gridCol w:w="120"/>
        <w:gridCol w:w="203"/>
        <w:gridCol w:w="1279"/>
        <w:gridCol w:w="225"/>
        <w:gridCol w:w="86"/>
        <w:gridCol w:w="203"/>
        <w:gridCol w:w="1107"/>
        <w:gridCol w:w="155"/>
        <w:gridCol w:w="60"/>
        <w:gridCol w:w="174"/>
        <w:gridCol w:w="1093"/>
        <w:gridCol w:w="192"/>
        <w:gridCol w:w="73"/>
        <w:gridCol w:w="174"/>
        <w:gridCol w:w="1097"/>
        <w:gridCol w:w="177"/>
      </w:tblGrid>
      <w:tr>
        <w:trPr/>
        <w:tc>
          <w:tcPr>
            <w:tcW w:w="37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7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03" w:type="dxa"/>
            <w:gridSpan w:val="6"/>
            <w:tcBorders/>
            <w:vAlign w:val="center"/>
          </w:tcPr>
          <w:p>
            <w:pPr>
              <w:pStyle w:val="TableContents"/>
              <w:bidi w:val="0"/>
              <w:spacing w:before="0" w:after="283"/>
              <w:jc w:val="center"/>
              <w:rPr>
                <w:b/>
              </w:rPr>
            </w:pPr>
            <w:r>
              <w:rPr>
                <w:b/>
              </w:rPr>
              <w:t>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3" w:type="dxa"/>
            <w:gridSpan w:val="6"/>
            <w:tcBorders/>
            <w:vAlign w:val="center"/>
          </w:tcPr>
          <w:p>
            <w:pPr>
              <w:pStyle w:val="TableContents"/>
              <w:bidi w:val="0"/>
              <w:spacing w:before="0" w:after="283"/>
              <w:jc w:val="center"/>
              <w:rPr>
                <w:b/>
              </w:rPr>
            </w:pPr>
            <w:r>
              <w:rPr>
                <w:b/>
              </w:rPr>
              <w:t>Six Months Ended June 30,</w:t>
            </w:r>
          </w:p>
        </w:tc>
        <w:tc>
          <w:tcPr>
            <w:tcW w:w="177" w:type="dxa"/>
            <w:tcBorders/>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7" w:type="dxa"/>
            <w:tcBorders/>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21" w:type="dxa"/>
            <w:gridSpan w:val="14"/>
            <w:tcBorders/>
            <w:vAlign w:val="center"/>
          </w:tcPr>
          <w:p>
            <w:pPr>
              <w:pStyle w:val="TableContents"/>
              <w:bidi w:val="0"/>
              <w:spacing w:before="0" w:after="283"/>
              <w:jc w:val="center"/>
              <w:rPr>
                <w:b/>
              </w:rPr>
            </w:pPr>
            <w:r>
              <w:rPr>
                <w:b/>
              </w:rPr>
              <w:t>(unaudited)</w:t>
            </w:r>
          </w:p>
        </w:tc>
        <w:tc>
          <w:tcPr>
            <w:tcW w:w="177" w:type="dxa"/>
            <w:tcBorders/>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21" w:type="dxa"/>
            <w:gridSpan w:val="14"/>
            <w:tcBorders/>
            <w:vAlign w:val="center"/>
          </w:tcPr>
          <w:p>
            <w:pPr>
              <w:pStyle w:val="TableContents"/>
              <w:bidi w:val="0"/>
              <w:spacing w:before="0" w:after="283"/>
              <w:jc w:val="center"/>
              <w:rPr>
                <w:b/>
              </w:rPr>
            </w:pPr>
            <w:r>
              <w:rPr>
                <w:b/>
              </w:rPr>
              <w:t>(in thousands)</w:t>
            </w:r>
          </w:p>
        </w:tc>
        <w:tc>
          <w:tcPr>
            <w:tcW w:w="177" w:type="dxa"/>
            <w:tcBorders/>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9" w:type="dxa"/>
            <w:tcBorders/>
            <w:shd w:fill="CCEEFF" w:val="clear"/>
            <w:vAlign w:val="center"/>
          </w:tcPr>
          <w:p>
            <w:pPr>
              <w:pStyle w:val="TableContents"/>
              <w:bidi w:val="0"/>
              <w:spacing w:before="0" w:after="283"/>
              <w:jc w:val="right"/>
              <w:rPr/>
            </w:pPr>
            <w:r>
              <w:rPr/>
              <w:t>(552,212</w:t>
            </w:r>
          </w:p>
        </w:tc>
        <w:tc>
          <w:tcPr>
            <w:tcW w:w="22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(55,832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93" w:type="dxa"/>
            <w:tcBorders/>
            <w:shd w:fill="CCEEFF" w:val="clear"/>
            <w:vAlign w:val="center"/>
          </w:tcPr>
          <w:p>
            <w:pPr>
              <w:pStyle w:val="TableContents"/>
              <w:bidi w:val="0"/>
              <w:spacing w:before="0" w:after="283"/>
              <w:jc w:val="right"/>
              <w:rPr/>
            </w:pPr>
            <w:r>
              <w:rPr/>
              <w:t>(616,955</w:t>
            </w:r>
          </w:p>
        </w:tc>
        <w:tc>
          <w:tcPr>
            <w:tcW w:w="19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(110,209</w:t>
            </w:r>
          </w:p>
        </w:tc>
        <w:tc>
          <w:tcPr>
            <w:tcW w:w="177" w:type="dxa"/>
            <w:tcBorders/>
            <w:shd w:fill="CCEEFF" w:val="clear"/>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(1,718</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(1,957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(2,749</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(4,381</w:t>
            </w:r>
          </w:p>
        </w:tc>
        <w:tc>
          <w:tcPr>
            <w:tcW w:w="177" w:type="dxa"/>
            <w:tcBorders/>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13,295</w:t>
            </w:r>
          </w:p>
        </w:tc>
        <w:tc>
          <w:tcPr>
            <w:tcW w:w="22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11,712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26,533</w:t>
            </w:r>
          </w:p>
        </w:tc>
        <w:tc>
          <w:tcPr>
            <w:tcW w:w="19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20,903</w:t>
            </w:r>
          </w:p>
        </w:tc>
        <w:tc>
          <w:tcPr>
            <w:tcW w:w="177" w:type="dxa"/>
            <w:tcBorders/>
            <w:shd w:fill="CCEEFF" w:val="clear"/>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6,415</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5,194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12,684</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10,254</w:t>
            </w:r>
          </w:p>
        </w:tc>
        <w:tc>
          <w:tcPr>
            <w:tcW w:w="177" w:type="dxa"/>
            <w:tcBorders/>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2,744</w:t>
            </w:r>
          </w:p>
        </w:tc>
        <w:tc>
          <w:tcPr>
            <w:tcW w:w="22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3,043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5,664</w:t>
            </w:r>
          </w:p>
        </w:tc>
        <w:tc>
          <w:tcPr>
            <w:tcW w:w="19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5,931</w:t>
            </w:r>
          </w:p>
        </w:tc>
        <w:tc>
          <w:tcPr>
            <w:tcW w:w="177" w:type="dxa"/>
            <w:tcBorders/>
            <w:shd w:fill="CCEEFF" w:val="clear"/>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95</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106</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9</w:t>
            </w:r>
          </w:p>
        </w:tc>
        <w:tc>
          <w:tcPr>
            <w:tcW w:w="177" w:type="dxa"/>
            <w:tcBorders/>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pBdr>
                <w:top w:val="single" w:sz="2" w:space="1" w:color="000000"/>
              </w:pBdr>
              <w:bidi w:val="0"/>
              <w:spacing w:before="0" w:after="0"/>
              <w:jc w:val="left"/>
              <w:rPr/>
            </w:pPr>
            <w:r>
              <w:rPr/>
              <w:t> </w:t>
            </w:r>
          </w:p>
        </w:tc>
        <w:tc>
          <w:tcPr>
            <w:tcW w:w="1279" w:type="dxa"/>
            <w:tcBorders/>
            <w:vAlign w:val="center"/>
          </w:tcPr>
          <w:p>
            <w:pPr>
              <w:pStyle w:val="TableContents"/>
              <w:pBdr>
                <w:top w:val="single" w:sz="2" w:space="1" w:color="000000"/>
              </w:pBdr>
              <w:bidi w:val="0"/>
              <w:spacing w:before="0" w:after="0"/>
              <w:jc w:val="left"/>
              <w:rPr/>
            </w:pPr>
            <w:r>
              <w:rPr/>
              <w:t> </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3" w:type="dxa"/>
            <w:tcBorders/>
            <w:vAlign w:val="center"/>
          </w:tcPr>
          <w:p>
            <w:pPr>
              <w:pStyle w:val="TableContents"/>
              <w:pBdr>
                <w:top w:val="single" w:sz="2" w:space="1" w:color="000000"/>
              </w:pBdr>
              <w:bidi w:val="0"/>
              <w:spacing w:before="0" w:after="0"/>
              <w:jc w:val="left"/>
              <w:rPr/>
            </w:pPr>
            <w:r>
              <w:rPr/>
              <w:t> </w:t>
            </w:r>
          </w:p>
        </w:tc>
        <w:tc>
          <w:tcPr>
            <w:tcW w:w="110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93"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97" w:type="dxa"/>
            <w:tcBorders/>
            <w:vAlign w:val="center"/>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9" w:type="dxa"/>
            <w:tcBorders/>
            <w:shd w:fill="CCEEFF" w:val="clear"/>
            <w:vAlign w:val="center"/>
          </w:tcPr>
          <w:p>
            <w:pPr>
              <w:pStyle w:val="TableContents"/>
              <w:bidi w:val="0"/>
              <w:spacing w:before="0" w:after="283"/>
              <w:jc w:val="right"/>
              <w:rPr/>
            </w:pPr>
            <w:r>
              <w:rPr/>
              <w:t>(531,381</w:t>
            </w:r>
          </w:p>
        </w:tc>
        <w:tc>
          <w:tcPr>
            <w:tcW w:w="22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(37,837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93" w:type="dxa"/>
            <w:tcBorders/>
            <w:shd w:fill="CCEEFF" w:val="clear"/>
            <w:vAlign w:val="center"/>
          </w:tcPr>
          <w:p>
            <w:pPr>
              <w:pStyle w:val="TableContents"/>
              <w:bidi w:val="0"/>
              <w:spacing w:before="0" w:after="283"/>
              <w:jc w:val="right"/>
              <w:rPr/>
            </w:pPr>
            <w:r>
              <w:rPr/>
              <w:t>(574,717</w:t>
            </w:r>
          </w:p>
        </w:tc>
        <w:tc>
          <w:tcPr>
            <w:tcW w:w="19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(77,493</w:t>
            </w:r>
          </w:p>
        </w:tc>
        <w:tc>
          <w:tcPr>
            <w:tcW w:w="177" w:type="dxa"/>
            <w:tcBorders/>
            <w:shd w:fill="CCEEFF" w:val="clear"/>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Losses on equity method investments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— </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301</w:t>
            </w:r>
          </w:p>
        </w:tc>
        <w:tc>
          <w:tcPr>
            <w:tcW w:w="177" w:type="dxa"/>
            <w:tcBorders/>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changes(1)</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4,870</w:t>
            </w:r>
          </w:p>
        </w:tc>
        <w:tc>
          <w:tcPr>
            <w:tcW w:w="22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700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4,280</w:t>
            </w:r>
          </w:p>
        </w:tc>
        <w:tc>
          <w:tcPr>
            <w:tcW w:w="19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(5,700</w:t>
            </w:r>
          </w:p>
        </w:tc>
        <w:tc>
          <w:tcPr>
            <w:tcW w:w="177" w:type="dxa"/>
            <w:tcBorders/>
            <w:shd w:fill="CCEEFF" w:val="clear"/>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488,313</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488,313</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Employer payroll tax related to stock-based compensation</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4,762</w:t>
            </w:r>
          </w:p>
        </w:tc>
        <w:tc>
          <w:tcPr>
            <w:tcW w:w="22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4,762</w:t>
            </w:r>
          </w:p>
        </w:tc>
        <w:tc>
          <w:tcPr>
            <w:tcW w:w="19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G-4 Special Payment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right"/>
              <w:rPr/>
            </w:pPr>
            <w:r>
              <w:rPr/>
              <w:t>2,250</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2,250</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pBdr>
                <w:top w:val="single" w:sz="2" w:space="1" w:color="000000"/>
              </w:pBdr>
              <w:bidi w:val="0"/>
              <w:spacing w:before="0" w:after="0"/>
              <w:jc w:val="left"/>
              <w:rPr/>
            </w:pPr>
            <w:r>
              <w:rPr/>
              <w:t> </w:t>
            </w:r>
          </w:p>
        </w:tc>
        <w:tc>
          <w:tcPr>
            <w:tcW w:w="1279" w:type="dxa"/>
            <w:tcBorders/>
            <w:vAlign w:val="center"/>
          </w:tcPr>
          <w:p>
            <w:pPr>
              <w:pStyle w:val="TableContents"/>
              <w:pBdr>
                <w:top w:val="single" w:sz="2" w:space="1" w:color="000000"/>
              </w:pBdr>
              <w:bidi w:val="0"/>
              <w:spacing w:before="0" w:after="0"/>
              <w:jc w:val="left"/>
              <w:rPr/>
            </w:pPr>
            <w:r>
              <w:rPr/>
              <w:t> </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3" w:type="dxa"/>
            <w:tcBorders/>
            <w:vAlign w:val="center"/>
          </w:tcPr>
          <w:p>
            <w:pPr>
              <w:pStyle w:val="TableContents"/>
              <w:pBdr>
                <w:top w:val="single" w:sz="2" w:space="1" w:color="000000"/>
              </w:pBdr>
              <w:bidi w:val="0"/>
              <w:spacing w:before="0" w:after="0"/>
              <w:jc w:val="left"/>
              <w:rPr/>
            </w:pPr>
            <w:r>
              <w:rPr/>
              <w:t> </w:t>
            </w:r>
          </w:p>
        </w:tc>
        <w:tc>
          <w:tcPr>
            <w:tcW w:w="110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93"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97" w:type="dxa"/>
            <w:tcBorders/>
            <w:vAlign w:val="center"/>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9" w:type="dxa"/>
            <w:tcBorders/>
            <w:shd w:fill="CCEEFF" w:val="clear"/>
            <w:vAlign w:val="center"/>
          </w:tcPr>
          <w:p>
            <w:pPr>
              <w:pStyle w:val="TableContents"/>
              <w:bidi w:val="0"/>
              <w:spacing w:before="0" w:after="283"/>
              <w:jc w:val="right"/>
              <w:rPr/>
            </w:pPr>
            <w:r>
              <w:rPr/>
              <w:t>(31,186</w:t>
            </w:r>
          </w:p>
        </w:tc>
        <w:tc>
          <w:tcPr>
            <w:tcW w:w="22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(36,967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93" w:type="dxa"/>
            <w:tcBorders/>
            <w:shd w:fill="CCEEFF" w:val="clear"/>
            <w:vAlign w:val="center"/>
          </w:tcPr>
          <w:p>
            <w:pPr>
              <w:pStyle w:val="TableContents"/>
              <w:bidi w:val="0"/>
              <w:spacing w:before="0" w:after="283"/>
              <w:jc w:val="right"/>
              <w:rPr/>
            </w:pPr>
            <w:r>
              <w:rPr/>
              <w:t>(75,112</w:t>
            </w:r>
          </w:p>
        </w:tc>
        <w:tc>
          <w:tcPr>
            <w:tcW w:w="19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(82,892</w:t>
            </w:r>
          </w:p>
        </w:tc>
        <w:tc>
          <w:tcPr>
            <w:tcW w:w="177" w:type="dxa"/>
            <w:tcBorders/>
            <w:shd w:fill="CCEEFF" w:val="clear"/>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pBdr>
                <w:top w:val="double" w:sz="6" w:space="1" w:color="000000"/>
              </w:pBdr>
              <w:bidi w:val="0"/>
              <w:spacing w:before="0" w:after="0"/>
              <w:jc w:val="left"/>
              <w:rPr/>
            </w:pPr>
            <w:r>
              <w:rPr/>
              <w:t> </w:t>
            </w:r>
          </w:p>
        </w:tc>
        <w:tc>
          <w:tcPr>
            <w:tcW w:w="1279" w:type="dxa"/>
            <w:tcBorders/>
            <w:vAlign w:val="center"/>
          </w:tcPr>
          <w:p>
            <w:pPr>
              <w:pStyle w:val="TableContents"/>
              <w:pBdr>
                <w:top w:val="double" w:sz="6" w:space="1" w:color="000000"/>
              </w:pBdr>
              <w:bidi w:val="0"/>
              <w:spacing w:before="0" w:after="0"/>
              <w:jc w:val="left"/>
              <w:rPr/>
            </w:pPr>
            <w:r>
              <w:rPr/>
              <w:t> </w:t>
            </w:r>
          </w:p>
        </w:tc>
        <w:tc>
          <w:tcPr>
            <w:tcW w:w="22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3" w:type="dxa"/>
            <w:tcBorders/>
            <w:vAlign w:val="center"/>
          </w:tcPr>
          <w:p>
            <w:pPr>
              <w:pStyle w:val="TableContents"/>
              <w:pBdr>
                <w:top w:val="double" w:sz="6" w:space="1" w:color="000000"/>
              </w:pBdr>
              <w:bidi w:val="0"/>
              <w:spacing w:before="0" w:after="0"/>
              <w:jc w:val="left"/>
              <w:rPr/>
            </w:pPr>
            <w:r>
              <w:rPr/>
              <w:t> </w:t>
            </w:r>
          </w:p>
        </w:tc>
        <w:tc>
          <w:tcPr>
            <w:tcW w:w="1107"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double" w:sz="6" w:space="1" w:color="000000"/>
              </w:pBdr>
              <w:bidi w:val="0"/>
              <w:spacing w:before="0" w:after="0"/>
              <w:jc w:val="left"/>
              <w:rPr/>
            </w:pPr>
            <w:r>
              <w:rPr/>
              <w:t> </w:t>
            </w:r>
          </w:p>
        </w:tc>
        <w:tc>
          <w:tcPr>
            <w:tcW w:w="1093" w:type="dxa"/>
            <w:tcBorders/>
            <w:vAlign w:val="center"/>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double" w:sz="6" w:space="1" w:color="000000"/>
              </w:pBdr>
              <w:bidi w:val="0"/>
              <w:spacing w:before="0" w:after="0"/>
              <w:jc w:val="left"/>
              <w:rPr/>
            </w:pPr>
            <w:r>
              <w:rPr/>
              <w:t> </w:t>
            </w:r>
          </w:p>
        </w:tc>
        <w:tc>
          <w:tcPr>
            <w:tcW w:w="1097" w:type="dxa"/>
            <w:tcBorders/>
            <w:vAlign w:val="center"/>
          </w:tcPr>
          <w:p>
            <w:pPr>
              <w:pStyle w:val="TableContents"/>
              <w:pBdr>
                <w:top w:val="double" w:sz="6"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 </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changes include gains and losses related to quarterly fair value adjustments of our warrant liability, warrant asset, marketable equity securities, contingent consideration liabilities, and indemnity-related holdback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significant losses and negative cash flows from operations since our inception, and as of June 30, 2024, we had an accumulated deficit of $2.1 billion. </w:t>
      </w:r>
    </w:p>
    <w:p>
      <w:pPr>
        <w:pStyle w:val="TextBody"/>
        <w:bidi w:val="0"/>
        <w:spacing w:before="240" w:after="0"/>
        <w:jc w:val="left"/>
        <w:rPr>
          <w:rFonts w:ascii="Times New Roman" w:hAnsi="Times New Roman"/>
          <w:sz w:val="20"/>
        </w:rPr>
      </w:pPr>
      <w:r>
        <w:rPr>
          <w:rFonts w:ascii="Times New Roman" w:hAnsi="Times New Roman"/>
          <w:sz w:val="20"/>
        </w:rPr>
        <w:t xml:space="preserve">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 </w:t>
      </w:r>
    </w:p>
    <w:p>
      <w:pPr>
        <w:pStyle w:val="TextBody"/>
        <w:bidi w:val="0"/>
        <w:spacing w:before="240" w:after="0"/>
        <w:jc w:val="left"/>
        <w:rPr>
          <w:rFonts w:ascii="Times New Roman" w:hAnsi="Times New Roman"/>
          <w:sz w:val="20"/>
        </w:rPr>
      </w:pPr>
      <w:r>
        <w:rPr>
          <w:rFonts w:ascii="Times New Roman" w:hAnsi="Times New Roman"/>
          <w:sz w:val="20"/>
        </w:rPr>
        <w:t xml:space="preserve">We have funded our operations to date principally from the sale of stock, convertible debt, term debt, and sales of our products. As of June 30, 2024, we had cash, cash equivalents and restricted cash of $479.7 million. In April 2024, we sold an aggregate of 3,489,981 shares of our Series G-5 convertible preferred stock at a price per share of $57.3069, for an aggregate purchase price of approximately $200.0 million in a private placement to an accredited investor. In June 2024, we completed our IPO, which resulted in net proceeds of $382.0 million after deducting underwriting discounts and commissions of $28.7 million. </w:t>
      </w:r>
    </w:p>
    <w:p>
      <w:pPr>
        <w:pStyle w:val="TextBody"/>
        <w:bidi w:val="0"/>
        <w:spacing w:before="240" w:after="0"/>
        <w:jc w:val="left"/>
        <w:rPr>
          <w:rFonts w:ascii="Times New Roman" w:hAnsi="Times New Roman"/>
          <w:sz w:val="20"/>
        </w:rPr>
      </w:pPr>
      <w:r>
        <w:rPr>
          <w:rFonts w:ascii="Times New Roman" w:hAnsi="Times New Roman"/>
          <w:sz w:val="20"/>
        </w:rPr>
        <w:t xml:space="preserve">Based on our current business plan, we believe our current cash and cash equivalents, marketable equity securities and anticipated cash flows from operations, will be sufficient to meet our anticipated cash requirements for more than twelve months from the date of this Quarterly Report on Form 10-Q.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Quarterly Report on Form 10-Q,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Term Loan Facility </w:t>
      </w:r>
    </w:p>
    <w:p>
      <w:pPr>
        <w:pStyle w:val="TextBody"/>
        <w:bidi w:val="0"/>
        <w:spacing w:before="120" w:after="0"/>
        <w:jc w:val="left"/>
        <w:rPr>
          <w:rFonts w:ascii="Times New Roman" w:hAnsi="Times New Roman"/>
          <w:sz w:val="20"/>
        </w:rPr>
      </w:pPr>
      <w:r>
        <w:rPr>
          <w:rFonts w:ascii="Times New Roman" w:hAnsi="Times New Roman"/>
          <w:sz w:val="20"/>
        </w:rPr>
        <w:t xml:space="preserve">On September 22, 2022, we entered into a Credit Agreement with Ares Capital Corporation, or Ares, for a senior secured loan, or Term Loan Facility, in the amount of $175 million, less original issue discount of $4.4 million and deferred financing fees of $2.6 million. On April 25, 2023, we entered into an amendment to the Credit Agreement, which increased the aggregate principal amount of the Term Loan Facility by an additional $50 million, less original issue discount of $1.3 million, and increased the interest rate on the Term Loan Facility by 25 basis points. On October 11, 2023, we entered into a second amendment to the Credit Agreement, which increased the aggregate principal amount of the Term Loan Facility by an additional $35 million, less original issue discount of $0.9 million. Terms of the second amendment are consistent with those of the first amendment. Interest on the Term Loan Facility is payable as follows: (i) for any interest period for which we elect to pay interest in cash, the cash interest rate for Base Rate and Term SOFR borrowings will be the Base Rate plus 6.25% and Term SOFR plus 7.25%, respectively, and (ii) for any interest period for which we elect to pay interest in kind, the cash interest rate for Base Rate and Term SOFR borrowings will be the Base Rate plus 4% and Term SOFR plus 5%, respectively, and the paid-in-kind interest rate will be 3.25%.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us and secured by substantially all of our assets. We have the right at any time and from time to time to prepay any Term Loan Facility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we are required to generate consolidated revenues of $459.1 million and $594.1 million, respectively. We were in compliance with the covenants of the Credit Agreement as of June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Promissory Note </w:t>
      </w:r>
    </w:p>
    <w:p>
      <w:pPr>
        <w:pStyle w:val="TextBody"/>
        <w:bidi w:val="0"/>
        <w:spacing w:before="120" w:after="0"/>
        <w:jc w:val="left"/>
        <w:rPr>
          <w:rFonts w:ascii="Times New Roman" w:hAnsi="Times New Roman"/>
          <w:sz w:val="20"/>
        </w:rPr>
      </w:pPr>
      <w:r>
        <w:rPr>
          <w:rFonts w:ascii="Times New Roman" w:hAnsi="Times New Roman"/>
          <w:sz w:val="20"/>
        </w:rPr>
        <w:t xml:space="preserve">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condensed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 </w:t>
      </w:r>
    </w:p>
    <w:p>
      <w:pPr>
        <w:pStyle w:val="TextBody"/>
        <w:bidi w:val="0"/>
        <w:spacing w:before="240" w:after="0"/>
        <w:jc w:val="left"/>
        <w:rPr>
          <w:rFonts w:ascii="Times New Roman" w:hAnsi="Times New Roman"/>
          <w:sz w:val="20"/>
        </w:rPr>
      </w:pPr>
      <w:r>
        <w:rPr>
          <w:rFonts w:ascii="Times New Roman" w:hAnsi="Times New Roman"/>
          <w:sz w:val="20"/>
        </w:rPr>
        <w:t xml:space="preserve">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7227" w:type="dxa"/>
        <w:jc w:val="left"/>
        <w:tblInd w:w="0" w:type="dxa"/>
        <w:tblLayout w:type="fixed"/>
        <w:tblCellMar>
          <w:top w:w="0" w:type="dxa"/>
          <w:left w:w="0" w:type="dxa"/>
          <w:bottom w:w="0" w:type="dxa"/>
          <w:right w:w="0" w:type="dxa"/>
        </w:tblCellMar>
      </w:tblPr>
      <w:tblGrid>
        <w:gridCol w:w="4115"/>
        <w:gridCol w:w="120"/>
        <w:gridCol w:w="175"/>
        <w:gridCol w:w="1100"/>
        <w:gridCol w:w="194"/>
        <w:gridCol w:w="74"/>
        <w:gridCol w:w="175"/>
        <w:gridCol w:w="1104"/>
        <w:gridCol w:w="170"/>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2" w:type="dxa"/>
            <w:gridSpan w:val="6"/>
            <w:tcBorders/>
            <w:vAlign w:val="center"/>
          </w:tcPr>
          <w:p>
            <w:pPr>
              <w:pStyle w:val="TableContents"/>
              <w:bidi w:val="0"/>
              <w:spacing w:before="0" w:after="283"/>
              <w:jc w:val="center"/>
              <w:rPr>
                <w:b/>
              </w:rPr>
            </w:pPr>
            <w:r>
              <w:rPr>
                <w:b/>
              </w:rPr>
              <w:t>(unaudited)</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2" w:type="dxa"/>
            <w:gridSpan w:val="6"/>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(198,458</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(121,087</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8,982</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(18,775</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502,631</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39,180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used in operating activities during the six months ended June 30, 2024 was $198.5 million, which resulted from a net loss of $617.0 million and a net change in our operating assets and liabilities of $103.8 million, offset by non-cash charges of $522.3 million. Non-cash charges primarily consisted of $18.3 million of depreciation and amortization, $3.3 million of non-cash operating lease costs, a decrease in the fair value of the warrant asset of $7.7 million, and stock-based compensation of $488.3 million. The net change in our operating assets and liabilities was primarily the result of decreases in accounts payable and deferred revenue of $33.4 million and $28.7 million, respectively, and a $24.0 million increase in accounts receivable. </w:t>
      </w:r>
    </w:p>
    <w:p>
      <w:pPr>
        <w:pStyle w:val="TextBody"/>
        <w:bidi w:val="0"/>
        <w:spacing w:before="240" w:after="0"/>
        <w:jc w:val="left"/>
        <w:rPr>
          <w:rFonts w:ascii="Times New Roman" w:hAnsi="Times New Roman"/>
          <w:sz w:val="20"/>
        </w:rPr>
      </w:pPr>
      <w:r>
        <w:rPr>
          <w:rFonts w:ascii="Times New Roman" w:hAnsi="Times New Roman"/>
          <w:sz w:val="20"/>
        </w:rPr>
        <w:t xml:space="preserve">Cash used in operating activities during the six months ended June 30, 2023 was $121.1 million, which resulted from a net loss of $110.2 million and a net change in our operating assets and liabilities of $38.5 million, offset by non-cash charges of $27.6 million. Non-cash charges primarily consisted of $16.2 million of depreciation and amortization, $3.4 million of non-cash operating lease costs, amortization of the warrant contract asset of $3.3 million, $7.4 million of impairment of intangible assets, and a decrease in the fair value of the warrant liability of $5.7 million. The net change in our operating assets and liabilities was primarily the result of a $6.9 million increase in accounts receivable, and a $20.0 million decrease in deferred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provided by investing activities during the six months ended June 30, 2024 was $9.0 million, which was the result of proceeds from the sale of marketable equity securities of $23.1 million, offset by purchases of property and equipment of $14.1 million. </w:t>
      </w:r>
    </w:p>
    <w:p>
      <w:pPr>
        <w:pStyle w:val="TextBody"/>
        <w:bidi w:val="0"/>
        <w:spacing w:before="240" w:after="0"/>
        <w:jc w:val="left"/>
        <w:rPr>
          <w:rFonts w:ascii="Times New Roman" w:hAnsi="Times New Roman"/>
          <w:sz w:val="20"/>
        </w:rPr>
      </w:pPr>
      <w:r>
        <w:rPr>
          <w:rFonts w:ascii="Times New Roman" w:hAnsi="Times New Roman"/>
          <w:sz w:val="20"/>
        </w:rPr>
        <w:t xml:space="preserve">Cash used in investing activities during the six months ended June 30, 2023 was $18.8 million, which was the result of purchases of property and equipment of $15.9 million, which related primarily to the expansion of our Chicago office for additional laboratory space.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provided by financing activities during the six months ended June 30, 2024 was $502.6 million, which was the result of proceeds from the issuance of common stock in connection with our IPO, net of underwriting discounts and commissions of $382.0 million, and the issuance of Series G-5 Preferred Stock of $199.8 million, offset by $69.9 million of taxes paid related to the net settlement of a portion of the RSUs outstanding as of June 30, 2024 for which the service-based vesting condition was satisfied before June 14, 2024 and for which the performance-based vesting condition was satisfied in connection with the IPO, or the RSU Net Settlement. </w:t>
      </w:r>
    </w:p>
    <w:p>
      <w:pPr>
        <w:pStyle w:val="TextBody"/>
        <w:bidi w:val="0"/>
        <w:spacing w:before="120" w:after="0"/>
        <w:jc w:val="left"/>
        <w:rPr>
          <w:rFonts w:ascii="Times New Roman" w:hAnsi="Times New Roman"/>
          <w:sz w:val="20"/>
        </w:rPr>
      </w:pPr>
      <w:r>
        <w:rPr>
          <w:rFonts w:ascii="Times New Roman" w:hAnsi="Times New Roman"/>
          <w:sz w:val="20"/>
        </w:rPr>
        <w:t xml:space="preserve">Cash provided by financing activities during the six months ended June 30, 2023 was $39.2 million, which was primarily due to proceeds from long-term debt, net of original issue discount of $48.8 million.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We have prepared our condensed consolidated financial statements in accordance with generally accepted accounting principles in the United States, or GAAP. Our preparation of these condensed consolidated financial statements requires us to make estimates, assumptions and judgments that affect the reported amounts of assets, liabilities, expenses and related disclosures at the date of the condensed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 </w:t>
      </w:r>
    </w:p>
    <w:p>
      <w:pPr>
        <w:pStyle w:val="TextBody"/>
        <w:bidi w:val="0"/>
        <w:spacing w:before="120" w:after="0"/>
        <w:jc w:val="left"/>
        <w:rPr>
          <w:rFonts w:ascii="Times New Roman" w:hAnsi="Times New Roman"/>
          <w:sz w:val="20"/>
        </w:rPr>
      </w:pPr>
      <w:r>
        <w:rPr>
          <w:rFonts w:ascii="Times New Roman" w:hAnsi="Times New Roman"/>
          <w:sz w:val="20"/>
        </w:rPr>
        <w:t xml:space="preserve">There have been no material changes to our critical accounting policies and estimates as described in the Final Prospectus, except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We issue RSUs to certain of our employees. The general terms of the RSUs issued under our 2015 Plan require both a service and performance condition to be satisfied prior to vesting. The service condition is satisfied upon the participant’s completion of a required period of continuous service from the vesting start date. The performance condition is satisfied upon a liquidity event, which occurred when we completed our IPO in June 2024, and resulted in recognition of stock-based compensation expense of $488.3 million during the three and six months ended June 30,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See the section titled “Summary of Significant Accounting Policies” in Note 2 to our condensed consolidated financial statements included elsewhere in this Quarterly Report on Form 10-Q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our company, as an emerging growth company, can adopt the new or revised standard at the time private companies adopt the new or revised standard. This may make comparison of our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rPr>
      </w:pPr>
      <w:bookmarkStart w:id="4" w:name="fin700319_7"/>
      <w:bookmarkEnd w:id="4"/>
      <w:r>
        <w:rPr>
          <w:rFonts w:ascii="Times New Roman" w:hAnsi="Times New Roman"/>
          <w:b/>
          <w:sz w:val="20"/>
        </w:rPr>
        <w:t xml:space="preserve">Item 3. 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for changes in interest rates related primarily to our cash, cash equivalents and restricted cash, and our indebtedness. As of June 30, 2024, we had cash, cash equivalents and restricted cash of $479.7 million held primarily in cash deposits and money market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Risk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our revenue is generated in the United States. Through June 30, 2024,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June 30, 2024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 </w:t>
      </w:r>
    </w:p>
    <w:p>
      <w:pPr>
        <w:pStyle w:val="TextBody"/>
        <w:bidi w:val="0"/>
        <w:spacing w:before="360" w:after="0"/>
        <w:jc w:val="left"/>
        <w:rPr>
          <w:rFonts w:ascii="Times New Roman" w:hAnsi="Times New Roman"/>
          <w:b/>
          <w:sz w:val="20"/>
        </w:rPr>
      </w:pPr>
      <w:bookmarkStart w:id="5" w:name="fin700319_8"/>
      <w:bookmarkEnd w:id="5"/>
      <w:r>
        <w:rPr>
          <w:rFonts w:ascii="Times New Roman" w:hAnsi="Times New Roman"/>
          <w:b/>
          <w:sz w:val="20"/>
        </w:rPr>
        <w:t xml:space="preserve">Item 4. Controls and Procedures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principal executive officer and principal financial officer have concluded that these disclosure controls and procedures were effective at a reasonable assurance level as of June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was no change in our internal control over financial reporting identified in connection with the evaluation required by Rule 13a-15(d) and 15d-15(d) of the Exchange Act that occurred during the period covered by this Quarterly Report on Form 10-Q that have materially affected, or is reasonably likely to materially affect, our internal control over financial reporting.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Effectiveness of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fin700319_9"/>
      <w:bookmarkEnd w:id="6"/>
      <w:r>
        <w:rPr>
          <w:rFonts w:ascii="Times New Roman" w:hAnsi="Times New Roman"/>
          <w:b/>
          <w:sz w:val="20"/>
        </w:rPr>
        <w:t xml:space="preserve">Part II – Other Information </w:t>
      </w:r>
    </w:p>
    <w:p>
      <w:pPr>
        <w:pStyle w:val="TextBody"/>
        <w:bidi w:val="0"/>
        <w:spacing w:before="240" w:after="0"/>
        <w:jc w:val="left"/>
        <w:rPr>
          <w:rFonts w:ascii="Times New Roman" w:hAnsi="Times New Roman"/>
          <w:b/>
          <w:sz w:val="20"/>
        </w:rPr>
      </w:pPr>
      <w:bookmarkStart w:id="7" w:name="fin700319_10"/>
      <w:bookmarkEnd w:id="7"/>
      <w:r>
        <w:rPr>
          <w:rFonts w:ascii="Times New Roman" w:hAnsi="Times New Roman"/>
          <w:b/>
          <w:sz w:val="20"/>
        </w:rPr>
        <w:t xml:space="preserve">Item 1.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 </w:t>
      </w:r>
    </w:p>
    <w:p>
      <w:pPr>
        <w:pStyle w:val="TextBody"/>
        <w:bidi w:val="0"/>
        <w:spacing w:before="240" w:after="0"/>
        <w:jc w:val="left"/>
        <w:rPr>
          <w:rFonts w:ascii="Times New Roman" w:hAnsi="Times New Roman"/>
          <w:sz w:val="20"/>
        </w:rPr>
      </w:pPr>
      <w:r>
        <w:rPr>
          <w:rFonts w:ascii="Times New Roman" w:hAnsi="Times New Roman"/>
          <w:sz w:val="20"/>
        </w:rPr>
        <w:t xml:space="preserve">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While we believe its programs and payments comply with the Anti-Kickback statute, no assurance can be given as to the timing or outcome of the government’s investigation, or that it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Tempus to patients enrolled in the Medicare and Medicaid programs. We have responded to all such requests for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June 11, 2024,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t>
      </w:r>
    </w:p>
    <w:p>
      <w:pPr>
        <w:pStyle w:val="TextBody"/>
        <w:bidi w:val="0"/>
        <w:spacing w:before="240" w:after="0"/>
        <w:jc w:val="left"/>
        <w:rPr>
          <w:rFonts w:ascii="Times New Roman" w:hAnsi="Times New Roman"/>
          <w:sz w:val="20"/>
        </w:rPr>
      </w:pPr>
      <w:r>
        <w:rPr>
          <w:rFonts w:ascii="Times New Roman" w:hAnsi="Times New Roman"/>
          <w:sz w:val="20"/>
        </w:rPr>
        <w:t xml:space="preserve">We assess legal contingencies to determine the degree of probability and range of possible loss for potential accrual in its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including claims and legal actions arising in the ordinary course of business, are recorded as liabilities when the likelihood of loss is probable and an amount or range of loss can be reasonably estimated. </w:t>
      </w:r>
    </w:p>
    <w:p>
      <w:pPr>
        <w:pStyle w:val="TextBody"/>
        <w:bidi w:val="0"/>
        <w:spacing w:before="360" w:after="0"/>
        <w:jc w:val="left"/>
        <w:rPr>
          <w:rFonts w:ascii="Times New Roman" w:hAnsi="Times New Roman"/>
          <w:b/>
          <w:sz w:val="20"/>
        </w:rPr>
      </w:pPr>
      <w:bookmarkStart w:id="8" w:name="fin700319_11"/>
      <w:bookmarkEnd w:id="8"/>
      <w:r>
        <w:rPr>
          <w:rFonts w:ascii="Times New Roman" w:hAnsi="Times New Roman"/>
          <w:b/>
          <w:sz w:val="20"/>
        </w:rPr>
        <w:t xml:space="preserve">Item 1A. Risk Factors </w:t>
      </w:r>
    </w:p>
    <w:p>
      <w:pPr>
        <w:pStyle w:val="TextBody"/>
        <w:bidi w:val="0"/>
        <w:spacing w:before="120" w:after="0"/>
        <w:jc w:val="left"/>
        <w:rPr>
          <w:rFonts w:ascii="Times New Roman" w:hAnsi="Times New Roman"/>
          <w:i/>
          <w:sz w:val="20"/>
        </w:rPr>
      </w:pPr>
      <w:r>
        <w:rPr>
          <w:rFonts w:ascii="Times New Roman" w:hAnsi="Times New Roman"/>
          <w:i/>
          <w:sz w:val="20"/>
        </w:rPr>
        <w:t xml:space="preserve">A description of the risks and uncertainties associated with our business is set forth below. You should carefully consider the risks described below as well as the other information in this Quarterly Report on Form 10-Q, including our condensed consolidated financial statements and the notes thereto, and “Management’s Discussion and Analysis of Financial Condition and Results of Operations.” The occurrence of any of the events or developments described below could adversely affect our business, results of operations, financial condition, reputation, and prospects. In such an event, the market price of our Class A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 Summary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numerous risks and uncertainties, including those described more fully below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have incurred significant losses since inception, we may continue to incur losses in the future, and we may not be able to generate sufficient revenue to achieve and maintain profitability.</w:t>
            </w:r>
            <w:r>
              <w:rPr>
                <w:rFonts w:ascii="Times New Roman" w:hAnsi="Times New Roman"/>
                <w:sz w:val="20"/>
              </w:rPr>
              <w:t xml:space="preserve">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Our current or future products may not achieve or maintain sufficient commercial market acceptance.</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Our operating results may fluctuate significantly, which makes our future operating results difficult to predict and could cause our operating results to fall below expectations or any guidance we may provide.</w:t>
            </w:r>
            <w:r>
              <w:rPr>
                <w:rFonts w:ascii="Times New Roman" w:hAnsi="Times New Roman"/>
                <w:sz w:val="20"/>
              </w:rPr>
              <w:t xml:space="preserve">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The success of our business depends on our continued access to, and ability to monetize, de-identified patient data.</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Our limited operating history and rapid growth make it difficult to evaluate our future prospects and the risks and challenges we may encounter.</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may need to raise additional capital to fund our existing operations, develop our Platform, commercialize new products or expand our operations.</w:t>
            </w:r>
            <w:r>
              <w:rPr>
                <w:rFonts w:ascii="Times New Roman" w:hAnsi="Times New Roman"/>
                <w:sz w:val="20"/>
              </w:rPr>
              <w:t xml:space="preserve">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Our AI Applications product line is nascent.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Our diagnostic products, or our competitors’ diagnostic products, could have defects or errors or otherwise fail to meet the expectations of patients, physicians and third-party payers; in such cases our operating results, reputation and business could suffer.</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If we are unable to obtain or maintain adequate reimbursement for our Genomics product line outside of the United States, our ability to expand internationally will be compromised.</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Labor relations matters could have a material adverse effect on our business, reputation, prospects, results of operations and financial condition.</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use AI in our products and services which may result in operational challenges, legal liability, reputational concerns and competitive risks.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If we cannot compete successfully with our competitors, we may be unable to increase or sustain our revenue or to achieve and then sustain profitability.</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The industries in which we operate are subject to rapid change, which could make our Platform, our current products and any future products we may develop obsolete.</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Our existing and any future debt may affect our flexibility in operating and developing our business and our ability to satisfy our obligations.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rely on a limited number of suppliers or, in some cases, sole suppliers, for some of our laboratory instruments and materials and may not be able to find replacements or promptly transition to alternative suppliers.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International expansion of our business exposes us to business, regulatory, political, operational, financial, and economic risks associated with doing business outside of the United States.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conduct business in a heavily regulated industry, and changes in regulations or violations of regulations may, directly or indirectly, reduce our revenue, adversely affect our business, financial condition and results of operations.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Certain of our tests are currently marketed as LDTs, and future changes in FDA enforcement discretion for LDTs could subject our operations to much more significant regulatory requirements.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The dual class structure of our common stock has the effect of concentrating voting control with our Chief Executive Officer, Founder and Chairman, which will limit your ability to influence the outcome of important decisions.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incurred substantial tax withholding and remittance obligations in conjunction with our IPO and anticipate incurring additional substantial federal and state tax withholding and remittance obligations in connection with the continuing settlement of RSUs that vested in connection with the offering. The manner in which we fund these tax liabilities may have an adverse effect on our financial condition.</w:t>
            </w:r>
            <w:r>
              <w:rPr>
                <w:rFonts w:ascii="Times New Roman" w:hAnsi="Times New Roman"/>
                <w:sz w:val="20"/>
              </w:rPr>
              <w:t xml:space="preserve">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Our stock price may be volatile, and the value of our Class A common stock may decline.</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previously identified a material weakness in our internal control over financial reporting. If we fail to maintain an effective system of internal control over financial reporting, we may not be able to accurately report our financial results or prevent fraud.</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We depend on information technology systems, including on-premises, co-located and third-party data centers and platforms, and any interruptions of service or failures may impair and harm our business, financial condition and results of operations.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Business and Strategy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incurred significant losses since inception, we may continue to incur losses in the future, and we may not be able to generate sufficient revenue to achieve and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significant losses since our inception. For the years ended December 31, 2023 and 2022, and the six months ended June 30, 2024 and 2023, we incurred net losses of $214.1 million, $289.8 million, $617.0 million and $110.2 million, respectively. As of June 30, 2024, we had an accumulated deficit of $2.1 billion. To date, we have financed our operations principally from the sale of stock and convertible securities, and revenue from our Genomics and Data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or certification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or future products may not achieve or maintain sufficient commercial market acceptance.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awareness of our Genomics and AI Applications diagnostic tests and other AI Applications, including new product offerings as they become available;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of adoption and/or endorsement of our Genomics and AI Applications diagnostic tests and AI Applications by clinicians, pharmaceutical and biotechnology companies, KOLs, and advocacy groups;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scope of obtaining any necessary approvals or certification by regulatory authorities, including the FDA, for our diagnostic tests, any software offerings, AI Applications, or any features of our Platform, in each case, that may be subject to regulatory oversight;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positive coverage decisions for our tests from additional commercial payers and to broaden the scope of indications included in such coverage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reimbursement and expanded coverage from government payers, including Medicare or comparable foreign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demand for our Data business, including by expanding our database of de- identified patient information and increasing the utility of our product offerings;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expand beyond oncology into neuropsychiatry, cardiology, radiology, and other indications;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build and maintain robust data sets with respect to patient populations in geographic regions that we may seek to enter in the future;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our investments in Platform development, product innovation and commercial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 perception of our products, those of our competitors and the industry in which we operate, including our ability to avoid adverse publicity from defects or errors; and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further validate our Platform through clinical research and accompanying publications.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before="120" w:after="0"/>
        <w:jc w:val="left"/>
        <w:rPr>
          <w:rFonts w:ascii="Times New Roman" w:hAnsi="Times New Roman"/>
          <w:sz w:val="20"/>
        </w:rPr>
      </w:pPr>
      <w:r>
        <w:rPr>
          <w:rFonts w:ascii="Times New Roman" w:hAnsi="Times New Roman"/>
          <w:sz w:val="20"/>
        </w:rPr>
        <w:t xml:space="preserve">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 term focus. These fluctuations may occur due to a variety of factors, many of which are outside of our control,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 of, and level of investment in, research, development, regulatory approval or certification and commercialization activities relating to our Platform and products, which may change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volume and customer mix of our Genomics and AI Applications diagnostic testing, AI Applications, and other products;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start and completion of projects in which our Data and Services products are utilized;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new products or product enhancements by us or others in our industry;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policies with respect to our products and products that compete with our products;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expenditures that we may incur to acquire, develop or commercialize additional products and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governmental regulations, including with respect to privacy and data security and medical device regulation, and our compliance therewith, or in the status of our regulatory approvals, certifications or applications;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accounting pronouncements or changes in our accounting policies;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disruptions in the business and operations of our clinical, commercial and other partners;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natural disasters, political and economic instability, including wars (such as the armed conflicts between Russia and Ukraine and the hostilities in the Middle East), terrorism, and political unrest, epidemics or pandemics, boycotts, curtailment of trade and other business restrictions;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demand for our Genomics and Data and Services products will depend in part upon the research and development and clinical budgets of pharmaceutical and biotechnology customers, which are impacted by factors beyond our control, such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programs (such as the National Institutes of Health) that provide funding to research institutions and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macroeconomic conditions (including any impact of unforeseen events such as the armed conflicts between Russia and Ukraine and the hostilities in the Middle East), the political climate and the impact of public health emergencies such as the COVID-19 pandemic, high and rising inflation rates, high interest rates, government closures of banks and liquidity concerns at other financial institutions;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regulatory environment;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differences in budgetary cycles;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75"/>
        <w:gridCol w:w="110"/>
        <w:gridCol w:w="60"/>
        <w:gridCol w:w="2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competitor products or pricing;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market-driven pressures to consolidate operations and reduce costs; and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relatively new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 in addition, management assesses relevant contractual terms in contracts with customers and applies significant judgment in identifying and accounting for all terms and conditions in certain contracts. </w:t>
      </w:r>
    </w:p>
    <w:p>
      <w:pPr>
        <w:pStyle w:val="TextBody"/>
        <w:bidi w:val="0"/>
        <w:spacing w:before="240" w:after="0"/>
        <w:jc w:val="left"/>
        <w:rPr>
          <w:rFonts w:ascii="Times New Roman" w:hAnsi="Times New Roman"/>
          <w:sz w:val="20"/>
        </w:rPr>
      </w:pPr>
      <w:r>
        <w:rPr>
          <w:rFonts w:ascii="Times New Roman" w:hAnsi="Times New Roman"/>
          <w:sz w:val="20"/>
        </w:rPr>
        <w:t xml:space="preserve">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success of our business depends on our continued access to, and ability to monetize, de-identified patient data. </w:t>
      </w:r>
    </w:p>
    <w:p>
      <w:pPr>
        <w:pStyle w:val="TextBody"/>
        <w:bidi w:val="0"/>
        <w:spacing w:before="120" w:after="0"/>
        <w:jc w:val="left"/>
        <w:rPr>
          <w:rFonts w:ascii="Times New Roman" w:hAnsi="Times New Roman"/>
          <w:sz w:val="20"/>
        </w:rPr>
      </w:pPr>
      <w:r>
        <w:rPr>
          <w:rFonts w:ascii="Times New Roman" w:hAnsi="Times New Roman"/>
          <w:sz w:val="20"/>
        </w:rPr>
        <w:t xml:space="preserve">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and through other sources is critical to our ability to offer our Data and AI Applications products and services.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also dependent on the healthcare institutions within our network continuing to provide us with broad access to data to multimodal data to support the robustness of our Genomics tests and other offerings, as well as on maintaining our collaborations with ASCO, ONCare Alliance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 </w:t>
      </w:r>
    </w:p>
    <w:p>
      <w:pPr>
        <w:pStyle w:val="TextBody"/>
        <w:bidi w:val="0"/>
        <w:spacing w:before="240" w:after="0"/>
        <w:jc w:val="left"/>
        <w:rPr>
          <w:rFonts w:ascii="Times New Roman" w:hAnsi="Times New Roman"/>
          <w:sz w:val="20"/>
        </w:rPr>
      </w:pPr>
      <w:r>
        <w:rPr>
          <w:rFonts w:ascii="Times New Roman" w:hAnsi="Times New Roman"/>
          <w:sz w:val="20"/>
        </w:rPr>
        <w:t xml:space="preserve">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continued adoption of our products and services is dependent on a number of factors, many of which are interrelated.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execute our growth strategy and become profitable is highly dependent on a number of factors, many of which are interrelated.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46% and 63% of our revenue in the years ended December 31, 2022 and 2023, respectively. We cannot assure that our oncology tests will continue to maintain or gain market acceptance, and any failure to do so would materially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Continued adoption of and use of our Data and Services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scope and robustness of the Data and Services and AI Applications products that we can offer our customers also depend significantly on the continued success of our Genomics product line, as the data that we collect through genomic testing is an essential component of our Data and Services and AI Applications products. Further, we believe that growth in the use of our Data and Services products will help drive awareness and adoption of our Genomics product line, which in turn will drive further growth within our Data and Services and AI Applications product lines. However, there can be no assurance that we will realize these synergies.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limited operating history and rapid growth make it difficult to evaluate our future prospects and the risks and challenges we may encounter. </w:t>
      </w:r>
    </w:p>
    <w:p>
      <w:pPr>
        <w:pStyle w:val="TextBody"/>
        <w:bidi w:val="0"/>
        <w:spacing w:before="120" w:after="0"/>
        <w:jc w:val="left"/>
        <w:rPr>
          <w:rFonts w:ascii="Times New Roman" w:hAnsi="Times New Roman"/>
          <w:sz w:val="20"/>
        </w:rPr>
      </w:pPr>
      <w:r>
        <w:rPr>
          <w:rFonts w:ascii="Times New Roman" w:hAnsi="Times New Roman"/>
          <w:sz w:val="20"/>
        </w:rPr>
        <w:t xml:space="preserve">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Quarterly Report on Form 10-Q.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raise additional capital to fund our existing operations, develop our Platform, commercialize new products or expand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We may need to raise additional capital in the future to expand our business, meet existing obligations, pursue acquisitions or strategic investments, or take advantage of financing opportunities or for other reasons, including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our sales and marketing efforts to drive market adoption of our current products and services, and address competitive developments;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fund development and marketing efforts of our products under development or any other future products we may develop;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license or invest in technologies;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or invest in complementary businesses or assets;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capital expenditures and general and administrative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present and future funding requirements will depend on many factors, including: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revenue growth and favorable gross profits;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rate of progress in establishing payer coverage and reimbursement arrangements with domestic and international commercial payers and government payers;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expanding our laboratory operations and product offerings, including our sales and marketing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rate of progress in, and costs of our sales and marketing activities associated with, establishing adoption of and reimbursement for our current products, including our diagnostic tests and our data analytics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at which we choose to advance, rate of progress in, and costs of our research and development activities associated with, products in development;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75"/>
        <w:gridCol w:w="110"/>
        <w:gridCol w:w="60"/>
        <w:gridCol w:w="3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our international expansion;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costs of and delays in product development as a result of any existing or new regulatory oversight applicable to our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AI Applications product line is nascent. </w:t>
      </w:r>
    </w:p>
    <w:p>
      <w:pPr>
        <w:pStyle w:val="TextBody"/>
        <w:bidi w:val="0"/>
        <w:spacing w:before="120" w:after="0"/>
        <w:jc w:val="left"/>
        <w:rPr>
          <w:rFonts w:ascii="Times New Roman" w:hAnsi="Times New Roman"/>
          <w:sz w:val="20"/>
        </w:rPr>
      </w:pPr>
      <w:r>
        <w:rPr>
          <w:rFonts w:ascii="Times New Roman" w:hAnsi="Times New Roman"/>
          <w:sz w:val="20"/>
        </w:rPr>
        <w:t xml:space="preserve">We have limited commercialized algorithms within our AI Applications product line. Revenue generated from AI Applications is reported within our Data and Services product line and was $5.5 million and $1.4 million for the years ended December 31, 2023 and 2022, respectively, $2.5 million and $0.8 million for the three months ended June 30, 2024 and 2023, respectively and $3.2 million and $1.3 million for the six months ended June 30, 2024 and 2023, respectively, which represents less than 1.5% of our total revenue in each period.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represents only a small proportion of the diagnostics market. The use of algorithmic diagnostics may also be subject to existing and entirely new regulations that may substantially impact their adoption, use, reimbursement and ongoing viability. While we believe AI Applications represent a significant long-term opportunity for us, there can be no assurances that a robust and sustained market for such diagnostics will develop or that we will successfully compete in any such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product development and commercialization involve a lengthy and complex process and we may be unable to develop or commercialize new products on a timely basis, or at all. </w:t>
      </w:r>
    </w:p>
    <w:p>
      <w:pPr>
        <w:pStyle w:val="TextBody"/>
        <w:bidi w:val="0"/>
        <w:spacing w:before="120" w:after="0"/>
        <w:jc w:val="left"/>
        <w:rPr>
          <w:rFonts w:ascii="Times New Roman" w:hAnsi="Times New Roman"/>
          <w:sz w:val="20"/>
        </w:rPr>
      </w:pPr>
      <w:r>
        <w:rPr>
          <w:rFonts w:ascii="Times New Roman" w:hAnsi="Times New Roman"/>
          <w:sz w:val="20"/>
        </w:rPr>
        <w:t xml:space="preserve">Products that are under development have taken time and considerable resources to develop, and we may not be able to complete the development and commercialization of such products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Before we can commercialize any new Genomics or AI Applications diagnostic products, we will need to expend significant funds in order to: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 substantial research and development, including validation studies and, in some cases,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further develop and scale our laboratory or algorithmic processes to accommodate diagnostic tests in additional disease areas; and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further develop and scale our infrastructure to be able to analyze increasingly large amounts of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diagnostic product development process involves a high degree of risk, and product development efforts may fail for many reasons, including: </w:t>
      </w:r>
    </w:p>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of the diagnostic product to perform as expected, including defects and errors;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lack of validation data or validation activities that subsequently may be challenged or questioned; or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the clinical utility of the diagnostic test.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Expanding the offerings of our Data business is also a speculative and risky endeavor and may require us to: </w:t>
      </w:r>
    </w:p>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additional access to patient healthcare information that is relevant to the products we offer;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correctly identify customer needs and preferences and predict future needs and preferences;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allocate our research and development funding to areas with higher growth prospects; and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anticipate and respond to our competitors’ development of new products and technological innovations.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updating or otherwise enhancing our Platform and products.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multiple genomics diagnostics tests across oncology, infectious diseases, and neuropsychiatry,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 </w:t>
      </w:r>
    </w:p>
    <w:p>
      <w:pPr>
        <w:pStyle w:val="TextBody"/>
        <w:bidi w:val="0"/>
        <w:spacing w:before="240" w:after="0"/>
        <w:jc w:val="left"/>
        <w:rPr>
          <w:rFonts w:ascii="Times New Roman" w:hAnsi="Times New Roman"/>
          <w:sz w:val="20"/>
        </w:rPr>
      </w:pPr>
      <w:r>
        <w:rPr>
          <w:rFonts w:ascii="Times New Roman" w:hAnsi="Times New Roman"/>
          <w:sz w:val="20"/>
        </w:rPr>
        <w:t xml:space="preserve">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Notified Bodies’ and other regulatory bodies’ clearances, authorizations, certifications or approvals before we can market the updated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FDA’s and Notified Bodies’ clearance, authorization, approval or certification pathways are likely to require significant time and expenditures. The FDA, or other applicable regulatory authority or Notified Bodies may not clear, authorize, certify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certification, authorization or approval, we or our collaborators would need to commit substantial resources to commercialize, sell and market the updated product, which may never achieve significant market acceptance among various stakeholders and be commercially successful.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 </w:t>
      </w:r>
    </w:p>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correctly identify customer needs and preferences and predict future needs and preferences;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allocate our research and development funding to areas with higher growth prospects;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anticipate and respond to our competitors’ development of new products and technological innovations;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innovate and develop new technologies and applications, and acquire or obtain rights to third-party technologies that may have valuable applications in the markets we serve;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develop and commercialize new technologies and applications in a timely manner; and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convince customers to adopt new technologies and applications.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expenses or losses associated with unsuccessful expansion of our Platform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successful in leveraging our Platform to identify, develop and commercialize additional genomic and algorithmic tests, our ability to expand our business and achieve our strategic objectives would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 </w:t>
      </w:r>
    </w:p>
    <w:p>
      <w:pPr>
        <w:pStyle w:val="TextBody"/>
        <w:bidi w:val="0"/>
        <w:spacing w:before="240" w:after="0"/>
        <w:jc w:val="left"/>
        <w:rPr>
          <w:rFonts w:ascii="Times New Roman" w:hAnsi="Times New Roman"/>
          <w:sz w:val="20"/>
        </w:rPr>
      </w:pPr>
      <w:r>
        <w:rPr>
          <w:rFonts w:ascii="Times New Roman" w:hAnsi="Times New Roman"/>
          <w:sz w:val="20"/>
        </w:rPr>
        <w:t xml:space="preserve">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existing and new products fail to achieve and sustain sufficient scientific acceptance, we will not generate expected revenue and our prospects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 reviewed journal as a measure of success. In such journal publications, the researchers will describe not only their discoveries but also the methods and typically the products used to fuel such discoveries. Mentions in peer- 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2023, our products have been mentioned in 117 peer-reviewed articles published in major journals, including 87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diagnostic products, or our competitors’ diagnostic products, could have defects or errors or otherwise fail to meet the expectations of patients, physicians and third-party payers; in such cases our operating results, reputation and business could suffer.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support demand for our current and future Genomics product line, including ensuring that we have adequate capacity to meet increased demand, or we are unable to successfully manage our anticipated growth, our business could suffer. </w:t>
      </w:r>
    </w:p>
    <w:p>
      <w:pPr>
        <w:pStyle w:val="TextBody"/>
        <w:bidi w:val="0"/>
        <w:spacing w:before="120" w:after="0"/>
        <w:jc w:val="left"/>
        <w:rPr>
          <w:rFonts w:ascii="Times New Roman" w:hAnsi="Times New Roman"/>
          <w:sz w:val="20"/>
        </w:rPr>
      </w:pPr>
      <w:r>
        <w:rPr>
          <w:rFonts w:ascii="Times New Roman" w:hAnsi="Times New Roman"/>
          <w:sz w:val="20"/>
        </w:rPr>
        <w:t xml:space="preserve">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 </w:t>
      </w:r>
    </w:p>
    <w:p>
      <w:pPr>
        <w:pStyle w:val="TextBody"/>
        <w:bidi w:val="0"/>
        <w:spacing w:before="240" w:after="0"/>
        <w:jc w:val="left"/>
        <w:rPr>
          <w:rFonts w:ascii="Times New Roman" w:hAnsi="Times New Roman"/>
          <w:sz w:val="20"/>
        </w:rPr>
      </w:pPr>
      <w:r>
        <w:rPr>
          <w:rFonts w:ascii="Times New Roman" w:hAnsi="Times New Roman"/>
          <w:sz w:val="20"/>
        </w:rPr>
        <w:t xml:space="preserve">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attract and retain candidates to support the expansion of our Genomics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received payment on approximately 50% of our clinical oncology next generation sequencing, or NGS, tests across all payers performed from January 1, 2021 through December 31, 2022. We calculated this metric on a trailing basis based on payer adjudication timing. However, we continued to perform our NGS tests through December 31, 2023. For the years ended December 31, 2022 and 2023, our average reimbursement for NGS tests in oncology was approximately $916 and $1,452,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28% and 26% of our clinical tests were for Medicare beneficiaries in the years ended December 31, 2022 and 2023,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 </w:t>
      </w:r>
    </w:p>
    <w:p>
      <w:pPr>
        <w:pStyle w:val="TextBody"/>
        <w:bidi w:val="0"/>
        <w:spacing w:before="240" w:after="0"/>
        <w:jc w:val="left"/>
        <w:rPr>
          <w:rFonts w:ascii="Times New Roman" w:hAnsi="Times New Roman"/>
          <w:sz w:val="20"/>
        </w:rPr>
      </w:pPr>
      <w:r>
        <w:rPr>
          <w:rFonts w:ascii="Times New Roman" w:hAnsi="Times New Roman"/>
          <w:sz w:val="20"/>
        </w:rPr>
        <w:t xml:space="preserve">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 </w:t>
      </w:r>
    </w:p>
    <w:p>
      <w:pPr>
        <w:pStyle w:val="TextBody"/>
        <w:bidi w:val="0"/>
        <w:spacing w:before="240" w:after="0"/>
        <w:jc w:val="left"/>
        <w:rPr>
          <w:rFonts w:ascii="Times New Roman" w:hAnsi="Times New Roman"/>
          <w:sz w:val="20"/>
        </w:rPr>
      </w:pPr>
      <w:r>
        <w:rPr>
          <w:rFonts w:ascii="Times New Roman" w:hAnsi="Times New Roman"/>
          <w:sz w:val="20"/>
        </w:rPr>
        <w:t xml:space="preserve">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Although we are a participating provider with several commercial payers, some large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 </w:t>
      </w:r>
    </w:p>
    <w:p>
      <w:pPr>
        <w:pStyle w:val="TextBody"/>
        <w:bidi w:val="0"/>
        <w:spacing w:before="240" w:after="0"/>
        <w:jc w:val="left"/>
        <w:rPr>
          <w:rFonts w:ascii="Times New Roman" w:hAnsi="Times New Roman"/>
          <w:sz w:val="20"/>
        </w:rPr>
      </w:pPr>
      <w:r>
        <w:rPr>
          <w:rFonts w:ascii="Times New Roman" w:hAnsi="Times New Roman"/>
          <w:sz w:val="20"/>
        </w:rPr>
        <w:t xml:space="preserve">For example, Medicare’s NCD for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have appealed those denials. The process is typically slow and costly, and multiple levels of appeal may be required for adjudication of outstanding claims. </w:t>
      </w:r>
    </w:p>
    <w:p>
      <w:pPr>
        <w:pStyle w:val="TextBody"/>
        <w:bidi w:val="0"/>
        <w:spacing w:before="240" w:after="0"/>
        <w:jc w:val="left"/>
        <w:rPr>
          <w:rFonts w:ascii="Times New Roman" w:hAnsi="Times New Roman"/>
          <w:sz w:val="20"/>
        </w:rPr>
      </w:pPr>
      <w:r>
        <w:rPr>
          <w:rFonts w:ascii="Times New Roman" w:hAnsi="Times New Roman"/>
          <w:sz w:val="20"/>
        </w:rPr>
        <w:t xml:space="preserve">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 </w:t>
      </w:r>
    </w:p>
    <w:p>
      <w:pPr>
        <w:pStyle w:val="TextBody"/>
        <w:bidi w:val="0"/>
        <w:spacing w:before="240" w:after="0"/>
        <w:jc w:val="left"/>
        <w:rPr>
          <w:rFonts w:ascii="Times New Roman" w:hAnsi="Times New Roman"/>
          <w:sz w:val="20"/>
        </w:rPr>
      </w:pPr>
      <w:r>
        <w:rPr>
          <w:rFonts w:ascii="Times New Roman" w:hAnsi="Times New Roman"/>
          <w:sz w:val="20"/>
        </w:rPr>
        <w:t xml:space="preserve">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Palmetto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 </w:t>
      </w:r>
    </w:p>
    <w:p>
      <w:pPr>
        <w:pStyle w:val="TextBody"/>
        <w:bidi w:val="0"/>
        <w:spacing w:before="240" w:after="0"/>
        <w:jc w:val="left"/>
        <w:rPr>
          <w:rFonts w:ascii="Times New Roman" w:hAnsi="Times New Roman"/>
          <w:sz w:val="20"/>
        </w:rPr>
      </w:pPr>
      <w:r>
        <w:rPr>
          <w:rFonts w:ascii="Times New Roman" w:hAnsi="Times New Roman"/>
          <w:sz w:val="20"/>
        </w:rPr>
        <w:t xml:space="preserve">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 which we operate. On May 1, 2024, CMS posted the MAC-specific payment recommendations which indicated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codes applicable to our tests would be reimbursed at the same or a higher level than they were previously reimbursed. These recommendations are currently open for public comment and CMS will publish the final MAC- specific amounts in September. If CMS ultimately prices the new codes at lower rates than they have previously reimbursed our tests at, such pricing decision may have a significant impact on our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 </w:t>
      </w:r>
    </w:p>
    <w:p>
      <w:pPr>
        <w:pStyle w:val="TextBody"/>
        <w:bidi w:val="0"/>
        <w:spacing w:before="240" w:after="0"/>
        <w:jc w:val="left"/>
        <w:rPr>
          <w:rFonts w:ascii="Times New Roman" w:hAnsi="Times New Roman"/>
          <w:sz w:val="20"/>
        </w:rPr>
      </w:pPr>
      <w:r>
        <w:rPr>
          <w:rFonts w:ascii="Times New Roman" w:hAnsi="Times New Roman"/>
          <w:sz w:val="20"/>
        </w:rPr>
        <w:t xml:space="preserve">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obtain or maintain adequate reimbursement for our Genomics product line outside of the United States, our ability to expand internationally will be compromised. </w:t>
      </w:r>
    </w:p>
    <w:p>
      <w:pPr>
        <w:pStyle w:val="TextBody"/>
        <w:bidi w:val="0"/>
        <w:spacing w:before="120" w:after="0"/>
        <w:jc w:val="left"/>
        <w:rPr>
          <w:rFonts w:ascii="Times New Roman" w:hAnsi="Times New Roman"/>
          <w:sz w:val="20"/>
        </w:rPr>
      </w:pPr>
      <w:r>
        <w:rPr>
          <w:rFonts w:ascii="Times New Roman" w:hAnsi="Times New Roman"/>
          <w:sz w:val="20"/>
        </w:rPr>
        <w:t xml:space="preserve">A substantial portion of our Genomics product line revenues come from third-party payer reimbursement. In many countries outside of the United States, reimbursement systems vary significantly by country and by region within some countries, and reimbursement approvals must be obtained on a country-by-country basis and various coverage, pricing and reimbursement approvals are required for our tests to be available to patients in significant volume. In the EU some countries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We expect that it will take several years to establish broad coverage and reimbursement for our tests with payers in countries outside of the United States, and our efforts may not be successful. </w:t>
      </w:r>
    </w:p>
    <w:p>
      <w:pPr>
        <w:pStyle w:val="TextBody"/>
        <w:bidi w:val="0"/>
        <w:spacing w:before="240" w:after="0"/>
        <w:jc w:val="left"/>
        <w:rPr>
          <w:rFonts w:ascii="Times New Roman" w:hAnsi="Times New Roman"/>
          <w:sz w:val="20"/>
        </w:rPr>
      </w:pPr>
      <w:r>
        <w:rPr>
          <w:rFonts w:ascii="Times New Roman" w:hAnsi="Times New Roman"/>
          <w:sz w:val="20"/>
        </w:rPr>
        <w:t xml:space="preserve">Even if public or private reimbursement is obtained, it may cover competing tests, or the reimbursement may be limited to a subset of the eligible patient population or conditioned upon local performance of the tests or other requirements we may have difficulty satisfying. </w:t>
      </w:r>
    </w:p>
    <w:p>
      <w:pPr>
        <w:pStyle w:val="TextBody"/>
        <w:bidi w:val="0"/>
        <w:spacing w:before="240" w:after="0"/>
        <w:jc w:val="left"/>
        <w:rPr>
          <w:rFonts w:ascii="Times New Roman" w:hAnsi="Times New Roman"/>
          <w:sz w:val="20"/>
        </w:rPr>
      </w:pPr>
      <w:r>
        <w:rPr>
          <w:rFonts w:ascii="Times New Roman" w:hAnsi="Times New Roman"/>
          <w:sz w:val="20"/>
        </w:rPr>
        <w:t xml:space="preserve">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Labor relations matters could have a material adverse effect on our business, reputation, prospects,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8, 2024, the International Association of Machinists and Aerospace Workers, or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We are unable to predict whether we will be successful in reaching a collective bargaining agreement, or the incremental cost and expense that may result from such efforts. In addition, to the extent we are unsuccessful, or if such efforts take longer than anticipated, impacted employees may threaten and/or engage in work stoppages and strikes, and our labor costs may continue to increase as a result. Even though we are currently unaware of other unionization efforts, it is possible that other employees may also seek to unionize. The unavailability of laboratory staff, or our inability to control labor costs related to these matters and future efforts to unionize, could have a material adverse effect on our business, reputation, prospects,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use AI in our products and services which may result in operational challenges, legal liability, reputational concerns and competitive risks. </w:t>
      </w:r>
    </w:p>
    <w:p>
      <w:pPr>
        <w:pStyle w:val="TextBody"/>
        <w:bidi w:val="0"/>
        <w:spacing w:before="120" w:after="0"/>
        <w:jc w:val="left"/>
        <w:rPr>
          <w:rFonts w:ascii="Times New Roman" w:hAnsi="Times New Roman"/>
          <w:sz w:val="20"/>
        </w:rPr>
      </w:pPr>
      <w:r>
        <w:rPr>
          <w:rFonts w:ascii="Times New Roman" w:hAnsi="Times New Roman"/>
          <w:sz w:val="20"/>
        </w:rPr>
        <w:t xml:space="preserve">AI is enabled by or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 </w:t>
      </w:r>
    </w:p>
    <w:p>
      <w:pPr>
        <w:pStyle w:val="TextBody"/>
        <w:bidi w:val="0"/>
        <w:spacing w:before="240" w:after="0"/>
        <w:jc w:val="left"/>
        <w:rPr>
          <w:rFonts w:ascii="Times New Roman" w:hAnsi="Times New Roman"/>
          <w:sz w:val="20"/>
        </w:rPr>
      </w:pPr>
      <w:r>
        <w:rPr>
          <w:rFonts w:ascii="Times New Roman" w:hAnsi="Times New Roman"/>
          <w:sz w:val="20"/>
        </w:rPr>
        <w:t xml:space="preserve">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the European Union’s Artificial Intelligence Act, or the AI Act, which provides for administrative fines of up to 35 million Euros or 7% of a company’s total worldwide annual turnover for the preceding financial year, whichever is the higher). In addition, the use and deployment of AI presents complexities and challenges with respect to compliance with applicable laws 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AI applications assist in producing are deficient or inaccurate, we could 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 </w:t>
      </w:r>
    </w:p>
    <w:p>
      <w:pPr>
        <w:pStyle w:val="TextBody"/>
        <w:bidi w:val="0"/>
        <w:spacing w:before="240" w:after="0"/>
        <w:jc w:val="left"/>
        <w:rPr>
          <w:rFonts w:ascii="Times New Roman" w:hAnsi="Times New Roman"/>
          <w:sz w:val="20"/>
        </w:rPr>
      </w:pPr>
      <w:r>
        <w:rPr>
          <w:rFonts w:ascii="Times New Roman" w:hAnsi="Times New Roman"/>
          <w:sz w:val="20"/>
        </w:rPr>
        <w:t xml:space="preserve">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 </w:t>
      </w:r>
    </w:p>
    <w:p>
      <w:pPr>
        <w:pStyle w:val="TextBody"/>
        <w:bidi w:val="0"/>
        <w:spacing w:before="240" w:after="0"/>
        <w:jc w:val="left"/>
        <w:rPr>
          <w:rFonts w:ascii="Times New Roman" w:hAnsi="Times New Roman"/>
          <w:sz w:val="20"/>
        </w:rPr>
      </w:pPr>
      <w:r>
        <w:rPr>
          <w:rFonts w:ascii="Times New Roman" w:hAnsi="Times New Roman"/>
          <w:sz w:val="20"/>
        </w:rPr>
        <w:t xml:space="preserve">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understand that the terms “AI,” “Machine Learning,” “Generative AI,” “Large Language Models” and other similar terms may mean different things to different people. Accordingly, when we use those terms, we 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Machine Learning is a type of AI where the computer software is tasked with learning without being explicitly programmed. Instead, the software learns and adapts through a combination of instruction from humans and self-experimentation.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Generative AI is a type of AI that can take different types of inputs (such as text, image, audio, video, code, etc.) and generate new content using a variety of different modalities and based on a sophisticated and advanced set of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Large Language Models are algorithms that can recognize, summarize, translate, predict, answer questions about, and generate content using very large datasets, such as our own multimodal clinical- molecular database.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Neural Networks are a type of machine learning that teach computers to process data in a way that is inspired by the human brain. Neural networks use interconnected nodes or neurons, much in the same way the human brain does.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use of generative AI tools may pose particular risks to our proprietary software and systems and subject us to legal liability. </w:t>
      </w:r>
    </w:p>
    <w:p>
      <w:pPr>
        <w:pStyle w:val="TextBody"/>
        <w:bidi w:val="0"/>
        <w:spacing w:before="120" w:after="0"/>
        <w:jc w:val="left"/>
        <w:rPr>
          <w:rFonts w:ascii="Times New Roman" w:hAnsi="Times New Roman"/>
          <w:sz w:val="20"/>
        </w:rPr>
      </w:pPr>
      <w:r>
        <w:rPr>
          <w:rFonts w:ascii="Times New Roman" w:hAnsi="Times New Roman"/>
          <w:sz w:val="20"/>
        </w:rPr>
        <w:t xml:space="preserve">We use generative AI tools in our business and expect to use generative AI tools in the future. Using generative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 </w:t>
      </w:r>
    </w:p>
    <w:p>
      <w:pPr>
        <w:pStyle w:val="TextBody"/>
        <w:bidi w:val="0"/>
        <w:spacing w:before="240" w:after="0"/>
        <w:jc w:val="left"/>
        <w:rPr>
          <w:rFonts w:ascii="Times New Roman" w:hAnsi="Times New Roman"/>
          <w:sz w:val="20"/>
        </w:rPr>
      </w:pPr>
      <w:r>
        <w:rPr>
          <w:rFonts w:ascii="Times New Roman" w:hAnsi="Times New Roman"/>
          <w:sz w:val="20"/>
        </w:rPr>
        <w:t xml:space="preserve">We face and expect to continue to face allegations, and we may face claims regarding such allegations, from third parties of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may also present additional security risks because the generated source code may have been modeled from publicly 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experience challenges with the acquisition, development, enhancement or deployment of technology necessary for our businesses. </w:t>
      </w:r>
    </w:p>
    <w:p>
      <w:pPr>
        <w:pStyle w:val="TextBody"/>
        <w:bidi w:val="0"/>
        <w:spacing w:before="120" w:after="0"/>
        <w:jc w:val="left"/>
        <w:rPr>
          <w:rFonts w:ascii="Times New Roman" w:hAnsi="Times New Roman"/>
          <w:sz w:val="20"/>
        </w:rPr>
      </w:pPr>
      <w:r>
        <w:rPr>
          <w:rFonts w:ascii="Times New Roman" w:hAnsi="Times New Roman"/>
          <w:sz w:val="20"/>
        </w:rPr>
        <w:t xml:space="preserve">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we cannot compete successfully with our competitors, we may be unable to increase or sustain our revenue or to achieve and then sustain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AI-driven data platforms and diagnostic products.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with respect to our Genomics products include certain diagnostics companies, such as Foundation Medicine, Inc., which was acquired by Roche Holdings, Inc., Caris Life Sciences, Guardant Health, Inc., Neogenomics, ResolutionBio, which was acquired by Agilent, and Natera, Inc., among others, with respect to our currently marketed precision oncology tests, and legacy diagnostic laboratories, such as Quest and LabCorp. In addition, our competitors for our pharmacogenetic test in neuropsychiatry include Myriad Genetics, Inc. and Genomind, Inc.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with respect to our Data and Services products include Flatiron Health, Inc., IQVIA Holdings Inc., and ConcertAI, among others. Furthermore, our Data and Services products also face competition from CROs, such as Fortrea, ICON, Syneos, PPD, and others, who provide data and clinical trial matching services to pharmaceutical and biotechnology companies.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Anumana, Inc., and Eko Devices, Inc. In addition, we are aware that academic medical centers may be developing their own AI Applications and may decide to enter this market. </w:t>
      </w:r>
    </w:p>
    <w:p>
      <w:pPr>
        <w:pStyle w:val="TextBody"/>
        <w:bidi w:val="0"/>
        <w:spacing w:before="240" w:after="0"/>
        <w:jc w:val="left"/>
        <w:rPr>
          <w:rFonts w:ascii="Times New Roman" w:hAnsi="Times New Roman"/>
          <w:sz w:val="20"/>
        </w:rPr>
      </w:pPr>
      <w:r>
        <w:rPr>
          <w:rFonts w:ascii="Times New Roman" w:hAnsi="Times New Roman"/>
          <w:sz w:val="20"/>
        </w:rPr>
        <w:t xml:space="preserve">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sizes of the markets for our current and future products have not been established with precision, and may be smaller than we estimate. </w:t>
      </w:r>
    </w:p>
    <w:p>
      <w:pPr>
        <w:pStyle w:val="TextBody"/>
        <w:bidi w:val="0"/>
        <w:spacing w:before="120" w:after="0"/>
        <w:jc w:val="left"/>
        <w:rPr>
          <w:rFonts w:ascii="Times New Roman" w:hAnsi="Times New Roman"/>
          <w:sz w:val="20"/>
        </w:rPr>
      </w:pPr>
      <w:r>
        <w:rPr>
          <w:rFonts w:ascii="Times New Roman" w:hAnsi="Times New Roman"/>
          <w:sz w:val="20"/>
        </w:rPr>
        <w:t xml:space="preserve">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industries in which we operate are subject to rapid change, which could make our Platform, our current products and any future products we may develop obsolete. </w:t>
      </w:r>
    </w:p>
    <w:p>
      <w:pPr>
        <w:pStyle w:val="TextBody"/>
        <w:bidi w:val="0"/>
        <w:spacing w:before="120" w:after="0"/>
        <w:jc w:val="left"/>
        <w:rPr>
          <w:rFonts w:ascii="Times New Roman" w:hAnsi="Times New Roman"/>
          <w:sz w:val="20"/>
        </w:rPr>
      </w:pPr>
      <w:r>
        <w:rPr>
          <w:rFonts w:ascii="Times New Roman" w:hAnsi="Times New Roman"/>
          <w:sz w:val="20"/>
        </w:rPr>
        <w:t xml:space="preserve">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 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successfully market, sell or distribute our products, and if we are unable to expand our sales organization to adequately address our customers’ needs, our business, financial condition and results of operations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and Services products to pharmaceutical and biotechnology companies through our business development team. </w:t>
      </w:r>
    </w:p>
    <w:p>
      <w:pPr>
        <w:pStyle w:val="TextBody"/>
        <w:bidi w:val="0"/>
        <w:spacing w:before="240" w:after="0"/>
        <w:jc w:val="left"/>
        <w:rPr>
          <w:rFonts w:ascii="Times New Roman" w:hAnsi="Times New Roman"/>
          <w:sz w:val="20"/>
        </w:rPr>
      </w:pPr>
      <w:r>
        <w:rPr>
          <w:rFonts w:ascii="Times New Roman" w:hAnsi="Times New Roman"/>
          <w:sz w:val="20"/>
        </w:rPr>
        <w:t xml:space="preserve">Each of our target markets is large, distinct and diverse. As a result, we believe it is necessary for many of our sales representatives and business development managers to have established diagnostic- or healthcare data- 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 </w:t>
      </w:r>
    </w:p>
    <w:p>
      <w:pPr>
        <w:pStyle w:val="TextBody"/>
        <w:bidi w:val="0"/>
        <w:spacing w:before="240" w:after="0"/>
        <w:jc w:val="left"/>
        <w:rPr>
          <w:rFonts w:ascii="Times New Roman" w:hAnsi="Times New Roman"/>
          <w:sz w:val="20"/>
        </w:rPr>
      </w:pPr>
      <w:r>
        <w:rPr>
          <w:rFonts w:ascii="Times New Roman" w:hAnsi="Times New Roman"/>
          <w:sz w:val="20"/>
        </w:rPr>
        <w:t xml:space="preserve">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successful in executing our strategy to increase sales of our Data and Services products to large pharmaceutical and biotechnology customers, our results of operations may suffer. </w:t>
      </w:r>
    </w:p>
    <w:p>
      <w:pPr>
        <w:pStyle w:val="TextBody"/>
        <w:bidi w:val="0"/>
        <w:spacing w:before="120" w:after="0"/>
        <w:jc w:val="left"/>
        <w:rPr>
          <w:rFonts w:ascii="Times New Roman" w:hAnsi="Times New Roman"/>
          <w:sz w:val="20"/>
        </w:rPr>
      </w:pPr>
      <w:r>
        <w:rPr>
          <w:rFonts w:ascii="Times New Roman" w:hAnsi="Times New Roman"/>
          <w:sz w:val="20"/>
        </w:rPr>
        <w:t xml:space="preserve">An important part of our growth strategy is to increase sales of Data and Services products, and in particular our Insights product, to large pharmaceutical and biotechnology companies. Sales to large companies involve risks that may not be present (or that are present to a lesser extent) with sales to small-to-mid-sized entities. These risks include: </w:t>
      </w:r>
    </w:p>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leverage held by large customers in negotiating contractual arrangements with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key decision makers within these organizations that may negatively impact our ability to negotiate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 employees may perceive that our products pose a threat to their internal control and advocate for internally developed solutions over our product;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75"/>
        <w:gridCol w:w="110"/>
        <w:gridCol w:w="60"/>
        <w:gridCol w:w="8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resources may be spent on a potential customer that ultimately elects not to purchase our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more stringent requirements in our service contracts, including stricter service response times, and increased penalties for any failure to meet service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competition from larger competitors that traditionally target large enterprises and government entities;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predictability in completing some of our sales than we do with smaller customers;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that advancements in AI allow our Data customers to develop models that serve as functional equivalents of our database and render our own products obsolete.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Services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 </w:t>
      </w:r>
    </w:p>
    <w:p>
      <w:pPr>
        <w:pStyle w:val="TextBody"/>
        <w:bidi w:val="0"/>
        <w:spacing w:before="240" w:after="0"/>
        <w:jc w:val="left"/>
        <w:rPr>
          <w:rFonts w:ascii="Times New Roman" w:hAnsi="Times New Roman"/>
          <w:sz w:val="20"/>
        </w:rPr>
      </w:pPr>
      <w:r>
        <w:rPr>
          <w:rFonts w:ascii="Times New Roman" w:hAnsi="Times New Roman"/>
          <w:sz w:val="20"/>
        </w:rPr>
        <w:t xml:space="preserve">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existing customers do not renew their licenses, do not buy additional products from us, or renew at lower prices, our business and operating results will suffer.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we derived $67.9 million, or approximately 40% and 13%, of our Data and Services product line revenue and total revenue, respectively, from three customers. We expect to continue to derive a significant portion of our Data and Services product line revenue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 </w:t>
      </w:r>
    </w:p>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performance, and functionality of our products;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price, performance, and functionality of competing products; </w:t>
            </w:r>
          </w:p>
        </w:tc>
      </w:tr>
    </w:tbl>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110"/>
        <w:gridCol w:w="60"/>
        <w:gridCol w:w="3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support services; </w:t>
            </w:r>
          </w:p>
        </w:tc>
      </w:tr>
    </w:tbl>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110"/>
        <w:gridCol w:w="60"/>
        <w:gridCol w:w="3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complementary products;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competitive products or technologies;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stability, performance, and security of our technological infrastructure; and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environment of our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deliver our Insights product through license agreements that allow our customers to use de-identified datasets for a specified term or for specified uses. Our customers have no obligation to renew their licenses for our Data and Services products after the license ends, and many of our contracts may be terminated or reduced in scope either immediately or upon notice. In addition, our customers may negotiate terms less advantageous to us upon renewal, which may reduce our revenue from these customers. Factors that are not within our control may contribute to a reduction in our Data and Services product line revenue.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 may decline and our future revenue may be constrained.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our Data and Services product line revenue are generated by sales to life sciences industry customers, and factors that adversely affect this industry could also adversely affect our Data business sales.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 </w:t>
      </w:r>
    </w:p>
    <w:p>
      <w:pPr>
        <w:pStyle w:val="TextBody"/>
        <w:bidi w:val="0"/>
        <w:spacing w:before="120" w:after="0"/>
        <w:jc w:val="left"/>
        <w:rPr>
          <w:rFonts w:ascii="Times New Roman" w:hAnsi="Times New Roman"/>
          <w:sz w:val="20"/>
        </w:rPr>
      </w:pPr>
      <w:r>
        <w:rPr>
          <w:rFonts w:ascii="Times New Roman" w:hAnsi="Times New Roman"/>
          <w:sz w:val="20"/>
        </w:rPr>
        <w:t xml:space="preserve">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collect receivables from our customers, our operating results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While the majority of our current customers are well-established large companies and hospital systems, we also provide our Data and Services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existing and any future debt may affect our flexibility in operating and developing our business and our ability to satisfy our obligations.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2024, we had indebtedness of $448.6 million, comprised of $180.6 million under the convertible promissory note, as amended, or the Amended Note, that we issued to Google LLC, or Google, and $268.0 million pursuant to a credit agreement with Ares Capital Corporation, or Ares, as amended, for a senior secured loan, or the Term Loan Facility. Our current and future indebtedness, including the Amended Note and the Term Loan Facility may have significant negative effects on our operations,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us, in certain circumstances, to obtain approval from Ares before embarking on certain mergers, acquisitions, capital expenditures, or other operational issues.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rely on a limited number of suppliers or, in some cases, sole suppliers, for some of our laboratory instruments and materials and may not be able to find replacements or promptly transition to alternative suppliers. </w:t>
      </w:r>
    </w:p>
    <w:p>
      <w:pPr>
        <w:pStyle w:val="TextBody"/>
        <w:bidi w:val="0"/>
        <w:spacing w:before="120" w:after="0"/>
        <w:jc w:val="left"/>
        <w:rPr>
          <w:rFonts w:ascii="Times New Roman" w:hAnsi="Times New Roman"/>
          <w:sz w:val="20"/>
        </w:rPr>
      </w:pPr>
      <w:r>
        <w:rPr>
          <w:rFonts w:ascii="Times New Roman" w:hAnsi="Times New Roman"/>
          <w:sz w:val="20"/>
        </w:rPr>
        <w:t xml:space="preserve">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33% and 35% of total vendor payments for the years ended December 31, 2023 and 2022, respectively. Amounts due to this supplier were approximately $11.8 million at December 31, 2023.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disruptions in supply of, and changes in the competitive environment for, raw materials and components integral to the manufacturing of our products may adversely affect our ability to achieve and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conflicts (including the armed conflicts between Russia and Ukraine and the hostilities in the Middle East),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our existing laboratory and storage facilities become damaged or inoperable or we are required to vacate our existing facilities, our ability to perform our tests and pursue our research and development efforts may be jeopardized. </w:t>
      </w:r>
    </w:p>
    <w:p>
      <w:pPr>
        <w:pStyle w:val="TextBody"/>
        <w:bidi w:val="0"/>
        <w:spacing w:before="120" w:after="0"/>
        <w:jc w:val="left"/>
        <w:rPr>
          <w:rFonts w:ascii="Times New Roman" w:hAnsi="Times New Roman"/>
          <w:sz w:val="20"/>
        </w:rPr>
      </w:pPr>
      <w:r>
        <w:rPr>
          <w:rFonts w:ascii="Times New Roman" w:hAnsi="Times New Roman"/>
          <w:sz w:val="20"/>
        </w:rPr>
        <w:t xml:space="preserve">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commercial courier delivery services to transport samples to our laboratory facility in a timely and cost-efficient manner and if these delivery services are disrupted, our business will be harmed. </w:t>
      </w:r>
    </w:p>
    <w:p>
      <w:pPr>
        <w:pStyle w:val="TextBody"/>
        <w:bidi w:val="0"/>
        <w:spacing w:before="120" w:after="0"/>
        <w:jc w:val="left"/>
        <w:rPr>
          <w:rFonts w:ascii="Times New Roman" w:hAnsi="Times New Roman"/>
          <w:sz w:val="20"/>
        </w:rPr>
      </w:pPr>
      <w:r>
        <w:rPr>
          <w:rFonts w:ascii="Times New Roman" w:hAnsi="Times New Roman"/>
          <w:sz w:val="20"/>
        </w:rPr>
        <w:t xml:space="preserve">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provide quality technical support and services for our Data and Services products, we could lose customers and our business and prospects will suffer.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Seasonality may cause fluctuations in our revenue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International expansion of our business exposes us to business, regulatory, political, operational, financial, and economic risks associated with doing business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multiple, conflicting and changing laws and regulations such as privacy regulations, including regulations that limit our ability to collect and distribute and otherwise process de-identified patient data, tax laws, export and import restrictions, economic sanctions and embargoes, employment laws, healthcare regulatory requirements, including those governing diagnostic testing and reimbursement, and other governmental approvals, permits and licenses;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us, our distributors, our local partners to obtain regulatory approvals or certifications for the use of our products in various countries;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potentially blocking or relevant third-party patent or other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complexities and difficulties in obtaining intellectual property protection and maintaining and enforcing our intellectual property rights;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staffing and managing foreign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complexities associated with managing multiple payer reimbursement regimes, government payers, or patient self-pay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logistics and regulations associated with shipping blood samples, including infrastructure conditions and transportation delays;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 populations that are underrepresented in our databases;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limits in our ability to penetrate international markets if we are not able to perform our tests locally;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political and economic instability, including wars (such as the armed conflicts between Russia and Ukraine and the hostilities in the Middle East), terrorism, and political unrest, boycotts, curtailment of trade and other business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 health or similar issues, such as epidemics or pandemics, including the current outbreak of COVID-19, that could cause business disruption;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and compliance risks that relate to maintaining accurate information and control over sales and distributors’ activities that may fall within the purview of the U.S. Foreign Corrupt Practices Act, or FCPA, its books and records provisions, or its anti-bribery provisions.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late February 2022, Russian military forces launched a significant military action against Ukraine. In October 2023, following a series of coordinated attacks in Israel conducted by the Palestinian Islamist militant group Hamas, Israel began air strikes and a subsequent ground war against Hamas. The Israel/Hamas conflict is threatening to spread, and may in the future spread, into other Middle Eastern countries. While our business and operations are currently not impacted, including in Israel where we sell certain molecular tests through a third party and perform certain testing services, it is not possible to predict consequences of these crises, or any other conflicts that may arise, which could include further sanctions, embargoes, regional instability, geopolitical shifts and adverse effects on macroeconomic conditions, security conditions, currency exchange rates and financial markets, any of which could have a material adverse impact on our future operations and results. </w:t>
      </w:r>
    </w:p>
    <w:p>
      <w:pPr>
        <w:pStyle w:val="TextBody"/>
        <w:bidi w:val="0"/>
        <w:spacing w:before="240" w:after="0"/>
        <w:jc w:val="left"/>
        <w:rPr>
          <w:rFonts w:ascii="Times New Roman" w:hAnsi="Times New Roman"/>
          <w:sz w:val="20"/>
        </w:rPr>
      </w:pPr>
      <w:r>
        <w:rPr>
          <w:rFonts w:ascii="Times New Roman" w:hAnsi="Times New Roman"/>
          <w:sz w:val="20"/>
        </w:rPr>
        <w:t xml:space="preserve">Any of these factors could significantly harm our future international expansion and operations and, consequently, our revenue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Highly Regulated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 </w:t>
      </w:r>
    </w:p>
    <w:p>
      <w:pPr>
        <w:pStyle w:val="TextBody"/>
        <w:bidi w:val="0"/>
        <w:spacing w:before="120" w:after="0"/>
        <w:jc w:val="left"/>
        <w:rPr>
          <w:rFonts w:ascii="Times New Roman" w:hAnsi="Times New Roman"/>
          <w:sz w:val="20"/>
        </w:rPr>
      </w:pPr>
      <w:r>
        <w:rPr>
          <w:rFonts w:ascii="Times New Roman" w:hAnsi="Times New Roman"/>
          <w:sz w:val="20"/>
        </w:rPr>
        <w:t xml:space="preserve">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of 2009, or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 </w:t>
      </w:r>
    </w:p>
    <w:p>
      <w:pPr>
        <w:pStyle w:val="TextBody"/>
        <w:bidi w:val="0"/>
        <w:spacing w:before="240" w:after="0"/>
        <w:jc w:val="left"/>
        <w:rPr>
          <w:rFonts w:ascii="Times New Roman" w:hAnsi="Times New Roman"/>
          <w:sz w:val="20"/>
        </w:rPr>
      </w:pPr>
      <w:r>
        <w:rPr>
          <w:rFonts w:ascii="Times New Roman" w:hAnsi="Times New Roman"/>
          <w:sz w:val="20"/>
        </w:rPr>
        <w:t xml:space="preserve">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Data privacy remains an evolving landscape at both the domestic and international level, with new regulations coming into effect. For example, various states, such as California, Massachusetts, and others,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CPRA. Although there are limited exemptions for clinical trial data under the CCPA, the CCPA and other similar laws could impact our business activities depending on how they are interpreted. In recent years, numerous other U.S. states—including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Similar laws are being considered in several other states, as well as at the federal and local levels, and we expect more states to pass similar laws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or may choose to voluntarily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 </w:t>
      </w:r>
    </w:p>
    <w:p>
      <w:pPr>
        <w:pStyle w:val="TextBody"/>
        <w:bidi w:val="0"/>
        <w:spacing w:before="240" w:after="0"/>
        <w:jc w:val="left"/>
        <w:rPr>
          <w:rFonts w:ascii="Times New Roman" w:hAnsi="Times New Roman"/>
          <w:sz w:val="20"/>
        </w:rPr>
      </w:pPr>
      <w:r>
        <w:rPr>
          <w:rFonts w:ascii="Times New Roman" w:hAnsi="Times New Roman"/>
          <w:sz w:val="20"/>
        </w:rPr>
        <w:t xml:space="preserve">These laws and regulations are not necessarily preempted by HIPAA, particularly if a state affords greater protection to individuals than HIPAA. Where state laws differ from HIPAA, we may have to comply with these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laboratories reside.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comply with the requirements of GDPR may result in significant fines of up to €20,000,000 or up to 4% of the total worldwide annual turnover of the preceding financial year, whichever is higher, and other administrative penalties. European data protection authorities have already imposed fines for GDPR violations up to, in some cases, hundreds of millions of Euros.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On July 11, 2023, the European Commission entered into force its adequacy decision for the EU-US Data Privacy Framework, or EU-US DPF, (a new framework for transferring personal information from the EEA to the United States), having determined that such framework ensures that the protection of personal information transferred from the EEA to the United States will be comparable to the protection offered in the EU. However, this decision will likely face legal challenges and ultimately may be invalidated by the CJEU just as the EU-US Privacy Shield was. On October 12, 2023, a UK- U.S. Data Bridge came into force to operate as an extension of the EU-US DPF to facilitate transfers of personal data between the United Kingdom and certified entities in the United States. Such Data Bridge could not only be challenged, but also may be affected by any challenges to the EU-US DPF. If we are unable to implement a valid compliance mechanism for cross-border personal data transfers, we may face increased exposure to regulatory actions, substantial fines and injunctions against processing or transferring personal data outside of the EEA and the United Kingdom, including to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 </w:t>
      </w:r>
    </w:p>
    <w:p>
      <w:pPr>
        <w:pStyle w:val="TextBody"/>
        <w:bidi w:val="0"/>
        <w:spacing w:before="240" w:after="0"/>
        <w:jc w:val="left"/>
        <w:rPr>
          <w:rFonts w:ascii="Times New Roman" w:hAnsi="Times New Roman"/>
          <w:sz w:val="20"/>
        </w:rPr>
      </w:pPr>
      <w:r>
        <w:rPr>
          <w:rFonts w:ascii="Times New Roman" w:hAnsi="Times New Roman"/>
          <w:sz w:val="20"/>
        </w:rPr>
        <w:t xml:space="preserve">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conduct business in a heavily regulated industry, and changes in regulations or violations of regulations may, directly or indirectly, reduce our revenue,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laws applicable to test ordering, documentation of tests ordered, billing practices and claims payment and/or regulatory agencies enforcing those laws and regulations;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health care fraud and abuse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laboratory anti-mark-up laws;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levels by Medicare, Medicaid, other governmental payers and private insurers;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coverage of and reimbursement for tests;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laws governing laboratory testing, including CLIA, and state licensing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laws and enforcement policies governing the development, use and distribution of diagnostic medical devices, including laboratory developed tests, or LDTs;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laws and enforcement policies governing the use of AI in analyzing data, including data in healthcare related areas;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state and local laws governing the handling and disposal of medical and hazardous waste;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Occupational Safety and Health Administration rules and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of 1996, or HIPAA, and similar state data privacy and security laws; and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consumer protection laws; and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Similar foreign laws and regulations in the countries in which we operate or may operate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In the EEA, in order to place an </w:t>
      </w:r>
      <w:r>
        <w:rPr>
          <w:rFonts w:ascii="Times New Roman" w:hAnsi="Times New Roman"/>
          <w:i/>
          <w:sz w:val="20"/>
        </w:rPr>
        <w:t>in vitro</w:t>
      </w:r>
      <w:r>
        <w:rPr>
          <w:rFonts w:ascii="Times New Roman" w:hAnsi="Times New Roman"/>
          <w:sz w:val="20"/>
        </w:rPr>
        <w:t xml:space="preserve"> diagnostic medical device (“IVD”), or an accessory to an IVD, on the market, or put it into service in the EEA, the device must be designed, developed, manufactured and marketed in compliance with the relevant legal framework. On May 26, 2022, the Regulation on </w:t>
      </w:r>
      <w:r>
        <w:rPr>
          <w:rFonts w:ascii="Times New Roman" w:hAnsi="Times New Roman"/>
          <w:i/>
          <w:sz w:val="20"/>
        </w:rPr>
        <w:t>In-Vitro</w:t>
      </w:r>
      <w:r>
        <w:rPr>
          <w:rFonts w:ascii="Times New Roman" w:hAnsi="Times New Roman"/>
          <w:sz w:val="20"/>
        </w:rPr>
        <w:t xml:space="preserve"> Diagnostic Medical Devices (Regulation (EU) 2017/746) (“IVDR”) entered into application, repealing and replacing the Directive on </w:t>
      </w:r>
      <w:r>
        <w:rPr>
          <w:rFonts w:ascii="Times New Roman" w:hAnsi="Times New Roman"/>
          <w:i/>
          <w:sz w:val="20"/>
        </w:rPr>
        <w:t>In-Vitro</w:t>
      </w:r>
      <w:r>
        <w:rPr>
          <w:rFonts w:ascii="Times New Roman" w:hAnsi="Times New Roman"/>
          <w:sz w:val="20"/>
        </w:rPr>
        <w:t xml:space="preserve"> Diagnostic Medical Devices (98/79/EC), or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The IVDR also establishes transitional provisions permitting certain devices that have been CE marked in accordance with the IVDD to continue to be placed on the EEA market under strict conditions and for a specific period of time depending on the risk classification of the device. Medical devices are governed by the Regulation on Medical Devices (Regulation (EU) 2017/745) (“MDR”) which entered into application on May 26, 2021, repealing and replacing the Directive on Medical Devices (93/42/EC) (the “MDD”). The MDR establishes similar provisions to the IVDR in relation to medical devices. If we do not comply with these requirements or fail to adequately comply, our business, financial condition and results of operations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Changes in the current regulatory framework for algorithmic diagnostic products and services can impose additional regulatory burdens on us.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tests are currently marketed as LDTs, and future changes in FDA enforcement discretion for LDTs could subject our operations to much more significant regulatory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FDA has historically operated under a policy of enforcement discretion with respect to LDTs whereby the FDA did not actively enforce its regulatory requirements for such tests. On May 6, 2024, the FDA published final regulations that took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If we fail to phase-in our compliance with these regulations we may be required to stop selling our existing tests or launching any other tests we may develop and to conduct additional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trials or take other actions prior to continuing to market our tests. This could significantly increase the costs and expenses of conducting, or otherwise harm, our business, financial condition and results of operations. Even if such tests are authorized for marketing by the FDA, the agency could limit the test’s indications for use, which may significantly limit the market for that product and may adversely affect our business and financial condition.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 results of the LDTs to our customers and this may require costly modifications, additional development or the reduction in functionality in our offerings which could, in turn, make them less attractive to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guarantee that the FDA will grant 510(k) clearance or a premarket approval or that comparable foreign regulatory authorities will grant the necessary clearance, approval or certification of our products and failure to obtain necessary clearances, approvals or certification for our products would adversely affect our ability to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 </w:t>
      </w:r>
    </w:p>
    <w:p>
      <w:pPr>
        <w:pStyle w:val="TextBody"/>
        <w:bidi w:val="0"/>
        <w:spacing w:before="240" w:after="0"/>
        <w:jc w:val="left"/>
        <w:rPr>
          <w:rFonts w:ascii="Times New Roman" w:hAnsi="Times New Roman"/>
          <w:sz w:val="20"/>
        </w:rPr>
      </w:pPr>
      <w:r>
        <w:rPr>
          <w:rFonts w:ascii="Times New Roman" w:hAnsi="Times New Roman"/>
          <w:sz w:val="20"/>
        </w:rPr>
        <w:t xml:space="preserve">The FDA can delay, limit or deny clearance or approval of a device for many reasons, including: </w:t>
      </w:r>
    </w:p>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demonstrate to the satisfaction of the FDA that our products are safe or effective for their intended 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disagreement of the FDA with the design, conduct or implementation of our clinical trials or the analysis or interpretation of data from our pre-clinical studies or clinical trials;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serious and unexpected adverse effects experienced by participants in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data from our pre-clinical studies and clinical trials may be insufficient to support clearance or approval, where required;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demonstrate that the clinical and other benefits of any of our tests outweigh the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may identify deficiencies in our marketing application, and in our manufacturing processes, facilities or analytical methods or those of our third-party contract manufacturers;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approval policies or regulations of the FDA to change significantly in a manner rendering our clinical data or regulatory filings insufficient for the clearance or approval;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may audit our clinical trial data and conclude that the data is not sufficiently reliable to support a PMA application.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foreign jurisdictions, we may be required to procure similar regulatory approvals, clearances or certification prior to marketing our diagnostic products. For example, in the Europe Union, we need to comply with the new MDR and IVDR. IVDs must comply with the General Safety and Performance Requirements (“GSPRs”) set out in Annex I to the IVDR and medical devices must comply with the GSPRs set out in Annex I to the MDR. Compliance with these requirements is a prerequisite to be able to affix the CE Mark to IVDs or medical devices, without which they cannot be marketed or sold in the EEA. To demonstrate compliance with the GSPRs provided in the IVDR or the MDR and obtain the right to affix the CE mark, medical devices manufacturers must undergo a conformity assessment procedure. Depending on the type of IVD or medical device and its classification, the conformity assessment procedure may require the intervention of a Notified Body. The Notified Body issues a CE Certificate of Conformity following successful completion of a conformity assessment procedure conducted in relation to the IVD or medical device and its manufacturer and their conformity with the GSPRs. This Certificate and the related conformity assessment process entitles the manufacturer to affix the CE mark to its IVDs or medical devices after having prepared and signed a related EU Declaration of Conformity. Obtaining the requisite regulatory approvals, clearances or certification in foreign jurisdictions can be expensive and may involve considerable delay. </w:t>
      </w:r>
    </w:p>
    <w:p>
      <w:pPr>
        <w:pStyle w:val="TextBody"/>
        <w:bidi w:val="0"/>
        <w:spacing w:before="240" w:after="0"/>
        <w:jc w:val="left"/>
        <w:rPr>
          <w:rFonts w:ascii="Times New Roman" w:hAnsi="Times New Roman"/>
          <w:sz w:val="20"/>
        </w:rPr>
      </w:pPr>
      <w:r>
        <w:rPr>
          <w:rFonts w:ascii="Times New Roman" w:hAnsi="Times New Roman"/>
          <w:sz w:val="20"/>
        </w:rPr>
        <w:t xml:space="preserve">Any delay or failure to obtain necessary regulatory approvals, clearances or certification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Modifications to our FDA-cleared, approved or CE marked products may require new 510(k) clearances or premarket approvals or certification, or may require us to cease marketing or recall the modified products until clearances are obtained. </w:t>
      </w:r>
    </w:p>
    <w:p>
      <w:pPr>
        <w:pStyle w:val="TextBody"/>
        <w:bidi w:val="0"/>
        <w:spacing w:before="120" w:after="0"/>
        <w:jc w:val="left"/>
        <w:rPr>
          <w:rFonts w:ascii="Times New Roman" w:hAnsi="Times New Roman"/>
          <w:sz w:val="20"/>
        </w:rPr>
      </w:pPr>
      <w:r>
        <w:rPr>
          <w:rFonts w:ascii="Times New Roman" w:hAnsi="Times New Roman"/>
          <w:sz w:val="20"/>
        </w:rPr>
        <w:t xml:space="preserve">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 Similarly, in the EU, for any products we have CE marked, future changes or updates to our products, which affect their safety or efficacy, may require new Notified Body certification before we may sell the revised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may in the future be subject to product recalls. A recall of our products, either voluntarily or at the direction of the FDA or another governmental authority or regulatory authority, or the discovery of serious safety issues with our products, could have a significant adverse impact on us. </w:t>
      </w:r>
    </w:p>
    <w:p>
      <w:pPr>
        <w:pStyle w:val="TextBody"/>
        <w:bidi w:val="0"/>
        <w:spacing w:before="120" w:after="0"/>
        <w:jc w:val="left"/>
        <w:rPr>
          <w:rFonts w:ascii="Times New Roman" w:hAnsi="Times New Roman"/>
          <w:sz w:val="20"/>
        </w:rPr>
      </w:pPr>
      <w:r>
        <w:rPr>
          <w:rFonts w:ascii="Times New Roman" w:hAnsi="Times New Roman"/>
          <w:sz w:val="20"/>
        </w:rPr>
        <w:t xml:space="preserve">The FDA and international regulatory bodies have the authority to require the recall of commercialized products that are subject to FDA or foreign applicable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or CE marked tests in the EU,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or a foreign regulatory authority. If the FDA or a foreign regulatory authority disagrees with our determinations, the FDA or a foreign regulatory authority could require us to report those actions and take enforcement action for failing to report the recalls when they were conducted. A future recall announcement could harm our reputation with customers and negatively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initiate a correction or removal for one of our tests, issue a safety alert or undertake a field action or recall to reduce a risk to health imposed by the test, this could lead to increased scrutiny by the FDA and foreign regulatory authorities and our customers regarding the quality and safety of our tests and to negative publicity, including FDA or a foreign regulatory authority alerts, press releases or administrative or judicial actions. Furthermore, circulation of any such negative publicity could harm our reputation, be used by competitors against us in competitive situations and cause customers to delay purchase decisions or cancel orders.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Arterys, Inc., a company we acquired in 2022, has developed several medical devices that are regulated by the FDA and EU legislation governing medical devices. Arterys also distributes devices developed by third parties. If we identify an issue with, or propose changes to, one of these devices that impacts patient safety or causes us to undertake a field action or implement a recall, our business operations and reputation could be harmed in a meaningful way.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“research use only” and any potential “investigational use only” products could become subject to more onerous regulation by the FDA or other regulatory authorities in the future, which could increase our costs and delay our commercialization efforts, thereby materially and adversely affecting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 </w:t>
      </w:r>
    </w:p>
    <w:p>
      <w:pPr>
        <w:pStyle w:val="TextBody"/>
        <w:bidi w:val="0"/>
        <w:spacing w:before="240" w:after="0"/>
        <w:jc w:val="left"/>
        <w:rPr>
          <w:rFonts w:ascii="Times New Roman" w:hAnsi="Times New Roman"/>
          <w:sz w:val="20"/>
        </w:rPr>
      </w:pPr>
      <w:r>
        <w:rPr>
          <w:rFonts w:ascii="Times New Roman" w:hAnsi="Times New Roman"/>
          <w:sz w:val="20"/>
        </w:rPr>
        <w:t xml:space="preserve">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receive regulatory approval or certification of our products, we will continue to be subject to extensive regulatory oversight. </w:t>
      </w:r>
    </w:p>
    <w:p>
      <w:pPr>
        <w:pStyle w:val="TextBody"/>
        <w:bidi w:val="0"/>
        <w:spacing w:before="120" w:after="0"/>
        <w:jc w:val="left"/>
        <w:rPr>
          <w:rFonts w:ascii="Times New Roman" w:hAnsi="Times New Roman"/>
          <w:sz w:val="20"/>
        </w:rPr>
      </w:pPr>
      <w:r>
        <w:rPr>
          <w:rFonts w:ascii="Times New Roman" w:hAnsi="Times New Roman"/>
          <w:sz w:val="20"/>
        </w:rPr>
        <w:t xml:space="preserve">Medical devices are subject to extensive regulation by the FDA in the United States, European Union legislation in the European Economic Area, or EEA, enforced by the Competent Authorities of EEA countries, and comparable regulatory authorities in other territories where we do or may do business. If any of our products are approved by the FDA, the European Commission, EEA Competent Authorities, or other comparable foreign regulatory authorities, or CE marked in accordance with EU legislation governing medical devices or IVDs,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 Similar considerations and requirements apply in relation to those products we have CE marked in the EEA, or for any products we may CE mark in the future in accordance with the IVDR or the MDR.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FDA the FTC and comparable foreign regulatory authorities also regulate the advertising and promotion of medical devices to ensure that their promotional claims made are consistent with the applicable marketing authorizations or certification, that there are adequate and reasonable data to substantiate the claims, and that the promotional labeling and advertising is neither false nor misleading in any respect. If the FDA, FTC or a comparable foreign regulatory authority determines that any of our promotional claims are false, misleading, not substantiated or not permissible, we may be subject to enforcement actions and we may be required to revise our promotional claims and make other corrections or restitutions. </w:t>
      </w:r>
    </w:p>
    <w:p>
      <w:pPr>
        <w:pStyle w:val="TextBody"/>
        <w:bidi w:val="0"/>
        <w:spacing w:before="240" w:after="0"/>
        <w:jc w:val="left"/>
        <w:rPr>
          <w:rFonts w:ascii="Times New Roman" w:hAnsi="Times New Roman"/>
          <w:sz w:val="20"/>
        </w:rPr>
      </w:pPr>
      <w:r>
        <w:rPr>
          <w:rFonts w:ascii="Times New Roman" w:hAnsi="Times New Roman"/>
          <w:sz w:val="20"/>
        </w:rPr>
        <w:t xml:space="preserve">The FDA, state and foreign authorities have broad enforcement powers. Our failure to comply with applicable regulatory requirements could result in enforcement action by the FDA, state or foreign regulatory authorities, or actions by Notified Bodies in the EEA in relation to the CE Certificate of Conformity they have issued in accordance with EU legislation governing medical devices or IVDs, which may include any of the following sanctions: </w:t>
      </w:r>
    </w:p>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warning letters, untitled letters, fines, injunctions, consent decrees and civil penalties;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repair, replacement, refunds, recalls, termination of distribution, administrative detention or seizures of our products;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restrictions, partial suspension or total shutdown of production;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 notifications or repair, replacement or refunds;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refusing our requests for clearances, approvals or certification of new products, new intended uses or modifications to existing products;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withdrawals of current clearances, approvals or certification, resulting in prohibitions on sales of our products;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to issue certificates needed to export products for sale in other countries; and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criminal prosecution.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sanctions could also result in higher than anticipated costs or lower than anticipated sales of our products and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 Similar considerations apply in foreign countries. </w:t>
      </w:r>
    </w:p>
    <w:p>
      <w:pPr>
        <w:pStyle w:val="TextBody"/>
        <w:bidi w:val="0"/>
        <w:spacing w:before="240" w:after="0"/>
        <w:jc w:val="left"/>
        <w:rPr>
          <w:rFonts w:ascii="Times New Roman" w:hAnsi="Times New Roman"/>
          <w:sz w:val="20"/>
        </w:rPr>
      </w:pPr>
      <w:r>
        <w:rPr>
          <w:rFonts w:ascii="Times New Roman" w:hAnsi="Times New Roman"/>
          <w:sz w:val="20"/>
        </w:rPr>
        <w:t xml:space="preserve">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changes to the regulatory system implemented in the EU by the IVDR and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would also be required to provide clinical data in the form of a clinical evaluation or performance report. Fulfilment of the obligations imposed by these Regulations may cause us to incur substantial costs. We may be unable to fulfill these obligations, or our Notified Body may consider that we have not adequately demonstrated compliance with our related obligations to merit the issuance of a CE Certificate of Conformity under the IVDR or the MDR for any of our products, or the continued use of any CE Certificate of Conformity issued under the IVDR or MDR.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 </w:t>
      </w:r>
    </w:p>
    <w:p>
      <w:pPr>
        <w:pStyle w:val="TextBody"/>
        <w:bidi w:val="0"/>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promulgated that could prevent, limit or delay regulatory clearance, approval or certification of our diagnostic tests. </w:t>
      </w:r>
    </w:p>
    <w:p>
      <w:pPr>
        <w:pStyle w:val="TextBody"/>
        <w:bidi w:val="0"/>
        <w:spacing w:before="240" w:after="0"/>
        <w:jc w:val="left"/>
        <w:rPr>
          <w:rFonts w:ascii="Times New Roman" w:hAnsi="Times New Roman"/>
          <w:sz w:val="20"/>
        </w:rPr>
      </w:pPr>
      <w:r>
        <w:rPr>
          <w:rFonts w:ascii="Times New Roman" w:hAnsi="Times New Roman"/>
          <w:sz w:val="20"/>
        </w:rPr>
        <w:t xml:space="preserve">We also cannot predict the likelihood, nature or extent of government regulation that may arise from future legislation or administrative or executive action, either in the United States or abroad, including the potential impact of the U.S. Supreme Court’s decision in Loper Bright Enterprises vs. Raimondo, which curtails the power of federal agencies to interpret the laws they administer.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never obtain approval or certification in foreign jurisdictions for any of our products and, even if we do, we may never be able to commercialize them in any other jurisdiction, which would limit our ability to realize their full market potential. </w:t>
      </w:r>
    </w:p>
    <w:p>
      <w:pPr>
        <w:pStyle w:val="TextBody"/>
        <w:bidi w:val="0"/>
        <w:spacing w:before="120" w:after="0"/>
        <w:jc w:val="left"/>
        <w:rPr>
          <w:rFonts w:ascii="Times New Roman" w:hAnsi="Times New Roman"/>
          <w:sz w:val="20"/>
        </w:rPr>
      </w:pPr>
      <w:r>
        <w:rPr>
          <w:rFonts w:ascii="Times New Roman" w:hAnsi="Times New Roman"/>
          <w:sz w:val="20"/>
        </w:rPr>
        <w:t xml:space="preserve">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 </w:t>
      </w:r>
    </w:p>
    <w:p>
      <w:pPr>
        <w:pStyle w:val="TextBody"/>
        <w:bidi w:val="0"/>
        <w:spacing w:before="240" w:after="0"/>
        <w:jc w:val="left"/>
        <w:rPr>
          <w:rFonts w:ascii="Times New Roman" w:hAnsi="Times New Roman"/>
          <w:sz w:val="20"/>
        </w:rPr>
      </w:pPr>
      <w:r>
        <w:rPr>
          <w:rFonts w:ascii="Times New Roman" w:hAnsi="Times New Roman"/>
          <w:sz w:val="20"/>
        </w:rPr>
        <w:t xml:space="preserve">Seeking foreign regulatory clearance, authorization, approval or certification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approvals or certification in international markets, or if those approvals or certification are delayed, our target market will be reduced and our ability to realize the full market potential of our products will be unrealized.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 Similar considerations may apply in foreign countries. </w:t>
      </w:r>
    </w:p>
    <w:p>
      <w:pPr>
        <w:pStyle w:val="TextBody"/>
        <w:bidi w:val="0"/>
        <w:spacing w:before="240" w:after="0"/>
        <w:jc w:val="left"/>
        <w:rPr>
          <w:rFonts w:ascii="Times New Roman" w:hAnsi="Times New Roman"/>
          <w:sz w:val="20"/>
        </w:rPr>
      </w:pPr>
      <w:r>
        <w:rPr>
          <w:rFonts w:ascii="Times New Roman" w:hAnsi="Times New Roman"/>
          <w:sz w:val="20"/>
        </w:rPr>
        <w:t xml:space="preserve">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North Carolina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 </w:t>
      </w:r>
    </w:p>
    <w:p>
      <w:pPr>
        <w:pStyle w:val="TextBody"/>
        <w:bidi w:val="0"/>
        <w:spacing w:before="240" w:after="0"/>
        <w:jc w:val="left"/>
        <w:rPr>
          <w:rFonts w:ascii="Times New Roman" w:hAnsi="Times New Roman"/>
          <w:sz w:val="20"/>
        </w:rPr>
      </w:pPr>
      <w:r>
        <w:rPr>
          <w:rFonts w:ascii="Times New Roman" w:hAnsi="Times New Roman"/>
          <w:sz w:val="20"/>
        </w:rPr>
        <w:t xml:space="preserve">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 </w:t>
      </w:r>
    </w:p>
    <w:p>
      <w:pPr>
        <w:pStyle w:val="TextBody"/>
        <w:bidi w:val="0"/>
        <w:spacing w:before="240" w:after="0"/>
        <w:jc w:val="left"/>
        <w:rPr>
          <w:rFonts w:ascii="Times New Roman" w:hAnsi="Times New Roman"/>
          <w:sz w:val="20"/>
        </w:rPr>
      </w:pPr>
      <w:r>
        <w:rPr>
          <w:rFonts w:ascii="Times New Roman" w:hAnsi="Times New Roman"/>
          <w:sz w:val="20"/>
        </w:rPr>
        <w:t xml:space="preserve">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Atlanta and Raleigh, North Carolina laboratories. In order to maintain CAP accreditation, we are subject to survey for compliance with CAP standards every two years. Failure to maintain CAP accreditation could have a material adverse effect on the sales of our tests and the results of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numerous federal, state and foreign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other extensive federal, state, local and foreign laws and regulations, all of which are subject to change. These laws and regulations may include,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 </w:t>
            </w:r>
            <w:r>
              <w:rPr>
                <w:rFonts w:ascii="Times New Roman" w:hAnsi="Times New Roman"/>
                <w:i/>
                <w:sz w:val="20"/>
              </w:rPr>
              <w:t>per se</w:t>
            </w:r>
            <w:r>
              <w:rPr>
                <w:rFonts w:ascii="Times New Roman" w:hAnsi="Times New Roman"/>
                <w:sz w:val="20"/>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hAnsi="Times New Roman"/>
                <w:i/>
                <w:sz w:val="20"/>
              </w:rPr>
              <w:t>qui tam</w:t>
            </w:r>
            <w:r>
              <w:rPr>
                <w:rFonts w:ascii="Times New Roman" w:hAnsi="Times New Roman"/>
                <w:sz w:val="20"/>
              </w:rPr>
              <w:t xml:space="preserve">”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federal and state fraud and abuse laws, such as state anti-kickback, self-referrals, false claims and anti- markup laws, any of which may extend to services reimbursable by any payer, including private insurers;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similar foreign laws and regulations in the countries in which we operate or may operate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 </w:t>
      </w:r>
    </w:p>
    <w:p>
      <w:pPr>
        <w:pStyle w:val="TextBody"/>
        <w:bidi w:val="0"/>
        <w:spacing w:before="240" w:after="0"/>
        <w:jc w:val="left"/>
        <w:rPr>
          <w:rFonts w:ascii="Times New Roman" w:hAnsi="Times New Roman"/>
          <w:sz w:val="20"/>
        </w:rPr>
      </w:pPr>
      <w:r>
        <w:rPr>
          <w:rFonts w:ascii="Times New Roman" w:hAnsi="Times New Roman"/>
          <w:sz w:val="20"/>
        </w:rPr>
        <w:t xml:space="preserve">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 </w:t>
      </w:r>
    </w:p>
    <w:p>
      <w:pPr>
        <w:pStyle w:val="TextBody"/>
        <w:bidi w:val="0"/>
        <w:spacing w:before="240" w:after="0"/>
        <w:jc w:val="left"/>
        <w:rPr>
          <w:rFonts w:ascii="Times New Roman" w:hAnsi="Times New Roman"/>
          <w:sz w:val="20"/>
        </w:rPr>
      </w:pPr>
      <w:r>
        <w:rPr>
          <w:rFonts w:ascii="Times New Roman" w:hAnsi="Times New Roman"/>
          <w:sz w:val="20"/>
        </w:rPr>
        <w:t xml:space="preserve">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any additional inquiry since that time. Similarly, on March 4, 2024, we received a Civil Investigative Demand, or CID, from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have continued to produce responsive documents on a rolling basis since that time. While we believe our programs and payments comply with the Anti-Kickback statute, no assurance can be given as to the timing or outcome of the government’s investigation, or that it will not result in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 </w:t>
      </w:r>
    </w:p>
    <w:p>
      <w:pPr>
        <w:pStyle w:val="TextBody"/>
        <w:bidi w:val="0"/>
        <w:spacing w:before="240" w:after="0"/>
        <w:jc w:val="left"/>
        <w:rPr>
          <w:rFonts w:ascii="Times New Roman" w:hAnsi="Times New Roman"/>
          <w:sz w:val="20"/>
        </w:rPr>
      </w:pPr>
      <w:r>
        <w:rPr>
          <w:rFonts w:ascii="Times New Roman" w:hAnsi="Times New Roman"/>
          <w:sz w:val="20"/>
        </w:rPr>
        <w:t xml:space="preserve">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validity of an informed consent from patients regarding our tests was challenged, we could be forced to stop offering our products or using our resources, and our business, financial condition and results of operations could be negatively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seek to ensure that all data and biological samples that we receive have been collected from patients, subjects or participants who have provided the necessary informed consent for purposes that extend to our development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be subject to fines, penalties, licensure requirements, or legal liability, if it is determined that through our test reports we are practicing medicine without a license. </w:t>
      </w:r>
    </w:p>
    <w:p>
      <w:pPr>
        <w:pStyle w:val="TextBody"/>
        <w:bidi w:val="0"/>
        <w:spacing w:before="120" w:after="0"/>
        <w:jc w:val="left"/>
        <w:rPr>
          <w:rFonts w:ascii="Times New Roman" w:hAnsi="Times New Roman"/>
          <w:sz w:val="20"/>
        </w:rPr>
      </w:pPr>
      <w:r>
        <w:rPr>
          <w:rFonts w:ascii="Times New Roman" w:hAnsi="Times New Roman"/>
          <w:sz w:val="20"/>
        </w:rPr>
        <w:t xml:space="preserve">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billing and claim processing are complex and time-consuming, and any delay in submitting claims or failure to comply with applicable billing requirements could hinder collection and have an adverse effect on our revenue. </w:t>
      </w:r>
    </w:p>
    <w:p>
      <w:pPr>
        <w:pStyle w:val="TextBody"/>
        <w:bidi w:val="0"/>
        <w:spacing w:before="120" w:after="0"/>
        <w:jc w:val="left"/>
        <w:rPr>
          <w:rFonts w:ascii="Times New Roman" w:hAnsi="Times New Roman"/>
          <w:sz w:val="20"/>
        </w:rPr>
      </w:pPr>
      <w:r>
        <w:rPr>
          <w:rFonts w:ascii="Times New Roman" w:hAnsi="Times New Roman"/>
          <w:sz w:val="20"/>
        </w:rPr>
        <w:t xml:space="preserve">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differences between the list prices for our test, the reimbursement rates of payers, the amounts we charge healthcare institutions directly, and the cost to patients who pay for our tests out-of-pocket;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complex federal, state and foreign regulations related to billing government healthcare programs, including Medicare and Medicaid or comparable foreign programs, to the extent our tests are covered by such programs;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differences in coverage among payers and the effect of patient co-payments or co-insurance;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differences in information, pre-authorization and other billing requirements among payers;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to codes and coding instructions governing our tests;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incorrect or missing billing information; and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resources required to manage the billing and claim appeals process.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historically,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With the introduction of new codes that are potentially applicable to comprehensive genomic profiling tests like the ones we offer, we are in the process of updating our approach again. Despite our diligence in developing a comprehensive billing strategy that accurately describes the tests we provide, payers, such as the 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 </w:t>
      </w:r>
    </w:p>
    <w:p>
      <w:pPr>
        <w:pStyle w:val="TextBody"/>
        <w:bidi w:val="0"/>
        <w:spacing w:before="240" w:after="0"/>
        <w:jc w:val="left"/>
        <w:rPr>
          <w:rFonts w:ascii="Times New Roman" w:hAnsi="Times New Roman"/>
          <w:sz w:val="20"/>
        </w:rPr>
      </w:pPr>
      <w:r>
        <w:rPr>
          <w:rFonts w:ascii="Times New Roman" w:hAnsi="Times New Roman"/>
          <w:sz w:val="20"/>
        </w:rPr>
        <w:t xml:space="preserve">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2023, approximately 50% of the liquid biopsy tests we provide are ordered in proximity to a solid tissue-based test, and over 85%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healthcare laws, regulations and policies could increase our costs, decrease our sales and revenue and negatively impact reimbursement for our tests. </w:t>
      </w:r>
    </w:p>
    <w:p>
      <w:pPr>
        <w:pStyle w:val="TextBody"/>
        <w:bidi w:val="0"/>
        <w:spacing w:before="120" w:after="0"/>
        <w:jc w:val="left"/>
        <w:rPr>
          <w:rFonts w:ascii="Times New Roman" w:hAnsi="Times New Roman"/>
          <w:sz w:val="20"/>
        </w:rPr>
      </w:pPr>
      <w:r>
        <w:rPr>
          <w:rFonts w:ascii="Times New Roman" w:hAnsi="Times New Roman"/>
          <w:sz w:val="20"/>
        </w:rPr>
        <w:t xml:space="preserve">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 </w:t>
      </w:r>
    </w:p>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risks related to handling of hazardous materials and other regulations governing environmental safety.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adversely affected by violations of the FCPA and other anti-bribery laws.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 </w:t>
      </w:r>
    </w:p>
    <w:p>
      <w:pPr>
        <w:pStyle w:val="TextBody"/>
        <w:bidi w:val="0"/>
        <w:spacing w:before="120" w:after="0"/>
        <w:jc w:val="left"/>
        <w:rPr>
          <w:rFonts w:ascii="Times New Roman" w:hAnsi="Times New Roman"/>
          <w:sz w:val="20"/>
        </w:rPr>
      </w:pPr>
      <w:r>
        <w:rPr>
          <w:rFonts w:ascii="Times New Roman" w:hAnsi="Times New Roman"/>
          <w:sz w:val="20"/>
        </w:rPr>
        <w:t xml:space="preserve">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 </w:t>
      </w:r>
    </w:p>
    <w:p>
      <w:pPr>
        <w:pStyle w:val="TextBody"/>
        <w:bidi w:val="0"/>
        <w:spacing w:before="240" w:after="0"/>
        <w:jc w:val="left"/>
        <w:rPr>
          <w:rFonts w:ascii="Times New Roman" w:hAnsi="Times New Roman"/>
          <w:sz w:val="20"/>
        </w:rPr>
      </w:pPr>
      <w:r>
        <w:rPr>
          <w:rFonts w:ascii="Times New Roman" w:hAnsi="Times New Roman"/>
          <w:sz w:val="20"/>
        </w:rPr>
        <w:t xml:space="preserve">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in the United States and other jurisdictions could diminish the value of patents in general, thereby impairing our ability to protect our Platform and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 </w:t>
      </w:r>
    </w:p>
    <w:p>
      <w:pPr>
        <w:pStyle w:val="TextBody"/>
        <w:bidi w:val="0"/>
        <w:spacing w:before="240" w:after="0"/>
        <w:jc w:val="left"/>
        <w:rPr>
          <w:rFonts w:ascii="Times New Roman" w:hAnsi="Times New Roman"/>
          <w:sz w:val="20"/>
        </w:rPr>
      </w:pPr>
      <w:r>
        <w:rPr>
          <w:rFonts w:ascii="Times New Roman" w:hAnsi="Times New Roman"/>
          <w:sz w:val="20"/>
        </w:rPr>
        <w:t xml:space="preserve">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hAnsi="Times New Roman"/>
          <w:i/>
          <w:sz w:val="20"/>
        </w:rPr>
        <w:t>inter partes</w:t>
      </w:r>
      <w:r>
        <w:rPr>
          <w:rFonts w:ascii="Times New Roman" w:hAnsi="Times New Roman"/>
          <w:sz w:val="20"/>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our Platform or products could be found invalid or unenforceable if challenged. </w:t>
      </w:r>
    </w:p>
    <w:p>
      <w:pPr>
        <w:pStyle w:val="TextBody"/>
        <w:bidi w:val="0"/>
        <w:spacing w:before="120" w:after="0"/>
        <w:jc w:val="left"/>
        <w:rPr>
          <w:rFonts w:ascii="Times New Roman" w:hAnsi="Times New Roman"/>
          <w:sz w:val="20"/>
        </w:rPr>
      </w:pPr>
      <w:r>
        <w:rPr>
          <w:rFonts w:ascii="Times New Roman" w:hAnsi="Times New Roman"/>
          <w:sz w:val="20"/>
        </w:rPr>
        <w:t xml:space="preserve">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hAnsi="Times New Roman"/>
          <w:i/>
          <w:sz w:val="20"/>
        </w:rPr>
        <w:t>inter partes</w:t>
      </w:r>
      <w:r>
        <w:rPr>
          <w:rFonts w:ascii="Times New Roman" w:hAnsi="Times New Roman"/>
          <w:sz w:val="20"/>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 </w:t>
      </w:r>
    </w:p>
    <w:p>
      <w:pPr>
        <w:pStyle w:val="TextBody"/>
        <w:bidi w:val="0"/>
        <w:spacing w:before="240" w:after="0"/>
        <w:jc w:val="left"/>
        <w:rPr>
          <w:rFonts w:ascii="Times New Roman" w:hAnsi="Times New Roman"/>
          <w:sz w:val="20"/>
        </w:rPr>
      </w:pPr>
      <w:r>
        <w:rPr>
          <w:rFonts w:ascii="Times New Roman" w:hAnsi="Times New Roman"/>
          <w:sz w:val="20"/>
        </w:rPr>
        <w:t xml:space="preserve">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 </w:t>
      </w:r>
    </w:p>
    <w:p>
      <w:pPr>
        <w:pStyle w:val="TextBody"/>
        <w:bidi w:val="0"/>
        <w:spacing w:before="240" w:after="0"/>
        <w:jc w:val="left"/>
        <w:rPr>
          <w:rFonts w:ascii="Times New Roman" w:hAnsi="Times New Roman"/>
          <w:sz w:val="20"/>
        </w:rPr>
      </w:pPr>
      <w:r>
        <w:rPr>
          <w:rFonts w:ascii="Times New Roman" w:hAnsi="Times New Roman"/>
          <w:sz w:val="20"/>
        </w:rPr>
        <w:t xml:space="preserve">The intellectual property landscape in the next generation sequencing, generative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Many of our competitors are or have been party to these suits, including Guardant Health, Inc., or Guardant, Haystack Oncology, Inc., Invitae Corp., Illumina, Inc., Natera, Inc., NeoGenomics Laboratories, Inc., Personalis, Inc., TwinStrand Biosciences, Inc., and others, and, as a result, we have monitored and continue to monitor their developments and their potential impact on us. In addition,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Given the uncertainty of outcomes of patent litigation disputes, we have not determined whether our products and services could be subject to potential additional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additional claims of patent infringement and that we may need to either modify our existing or future sequencing methods or license intellectual property from third parties, both of which could be time consuming and expensive.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time to time we may receive notifications from third parties purportedly asserting certain intellectual property rights with respect to our products and services. For example, on September 21, 2023, SEngine Precision Medicine LLC (including its predecessor corporation SEngine Precision Medicine, Inc.), or SEngine, a company we acquired on October 3, 2023, received a letter from an attorney representing HUB Organoids IP B.V., or HUB Organoids, which states that SEngine’s PARIS® test methodologies “appear to share similarities with methods that the HUB has used in its own organoid work.” Similarly, on January 30, 2024, we received a letter from an attorney representing Molecular Loop Biosciences, Inc., which states that “[a]fter reviewing specific products made, used or sold by Tempus, Molecular Loop believes that Tempus requires a license to several of the patents in Molecular Loop’s patent portfolio.” While the letter received on behalf of HUB Organoids contains no specific allegations that SEngine infringes certain patents controlled by HUB Organoids referenced in the letter, and while the letter received on behalf of Molecular Loop contains only generalized allegations that Tempus may infringe certain patents controlled by Molecular Loop referenced in the letter, if any claims against us were made by these parties, including any claim that any portion of our products and services infringes any of the referenced patents, we would defend against such claims, however, there can be no assurances that any such defense would be successful. Moreover, if we are subject to claims of patent infringement, we may need to modify existing methods governing use of our products and services, or license third party intellectual property, at some point in the future, which may be time consuming and expensive or may not be technically feasible.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licenses from third parties to provide certain products, and if we lose these licenses or if our rights under these licenses are limited, then our business will be adversely impacted. </w:t>
      </w:r>
    </w:p>
    <w:p>
      <w:pPr>
        <w:pStyle w:val="TextBody"/>
        <w:bidi w:val="0"/>
        <w:spacing w:before="120" w:after="0"/>
        <w:jc w:val="left"/>
        <w:rPr>
          <w:rFonts w:ascii="Times New Roman" w:hAnsi="Times New Roman"/>
          <w:sz w:val="20"/>
        </w:rPr>
      </w:pPr>
      <w:r>
        <w:rPr>
          <w:rFonts w:ascii="Times New Roman" w:hAnsi="Times New Roman"/>
          <w:sz w:val="20"/>
        </w:rPr>
        <w:t xml:space="preserve">We are, and we may acquire companies that are, party to various license agreements that grant us rights to use certain intellectual property, including de-identified patient data, AI software, and certain patents and patent applications, typically in certain specified fields of use. Such license agreements impose, and future agreements may impose, various obligations, such as diligence, development, payment, royalty, sublicensing and other obligations on us in order to maintain the licenses.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 </w:t>
      </w:r>
    </w:p>
    <w:p>
      <w:pPr>
        <w:pStyle w:val="TextBody"/>
        <w:bidi w:val="0"/>
        <w:spacing w:before="240" w:after="0"/>
        <w:jc w:val="left"/>
        <w:rPr>
          <w:rFonts w:ascii="Times New Roman" w:hAnsi="Times New Roman"/>
          <w:sz w:val="20"/>
        </w:rPr>
      </w:pPr>
      <w:r>
        <w:rPr>
          <w:rFonts w:ascii="Times New Roman" w:hAnsi="Times New Roman"/>
          <w:sz w:val="20"/>
        </w:rPr>
        <w:t xml:space="preserve">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or certification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disputes could arise with respect to any aspect of our license agreements, including: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10"/>
        <w:gridCol w:w="60"/>
        <w:gridCol w:w="5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financial or other obligations under the license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our Platform, products, and processes infringe, misappropriate, or otherwise violate the intellectual property of the licensor that is not subject to the licensing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licensing of patent and other rights controlled by our licensors or developed under our collaborative development relationships to others;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sublicensing of patent and other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and ownership of inventions and know-how licensed to us or resulting from the joint creation or use of intellectual property by our licensors, us and/or our partners;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validity, enforceability or priority of licensed patent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do not prevail in such disputes, we may lose any of such license agreements, the license agreements may not be meaningful for our business and operations, and we may be subject to unnecessary or additional payment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license and maintain rights to use third-party intellectual property on reasonable terms, we may not be able to successfully commercialize our products. Our licensed or acquired technology may lose value or utility over time.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or enforce our intellectual property rights adequately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trade secrets, the value of our Platform and other technology could be materially adversely affected and our business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 </w:t>
      </w:r>
    </w:p>
    <w:p>
      <w:pPr>
        <w:pStyle w:val="TextBody"/>
        <w:bidi w:val="0"/>
        <w:spacing w:before="240" w:after="0"/>
        <w:jc w:val="left"/>
        <w:rPr>
          <w:rFonts w:ascii="Times New Roman" w:hAnsi="Times New Roman"/>
          <w:sz w:val="20"/>
        </w:rPr>
      </w:pPr>
      <w:r>
        <w:rPr>
          <w:rFonts w:ascii="Times New Roman" w:hAnsi="Times New Roman"/>
          <w:sz w:val="20"/>
        </w:rPr>
        <w:t xml:space="preserve">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 </w:t>
      </w:r>
    </w:p>
    <w:p>
      <w:pPr>
        <w:pStyle w:val="TextBody"/>
        <w:bidi w:val="0"/>
        <w:spacing w:before="240" w:after="0"/>
        <w:jc w:val="left"/>
        <w:rPr>
          <w:rFonts w:ascii="Times New Roman" w:hAnsi="Times New Roman"/>
          <w:sz w:val="20"/>
        </w:rPr>
      </w:pPr>
      <w:r>
        <w:rPr>
          <w:rFonts w:ascii="Times New Roman" w:hAnsi="Times New Roman"/>
          <w:sz w:val="20"/>
        </w:rPr>
        <w:t xml:space="preserve">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that our employees, consultants or independent contractors have wrongfully used or disclosed confidential information of third parties or that our employees have wrongfully used or disclosed trade secrets of their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protect and enforce our trademarks and we could infringe or otherwise violate others’ trademarks and if our trademarks are not adequately protected, then we may not be able to build name recognition in our markets of interest. </w:t>
      </w:r>
    </w:p>
    <w:p>
      <w:pPr>
        <w:pStyle w:val="TextBody"/>
        <w:bidi w:val="0"/>
        <w:spacing w:before="120" w:after="0"/>
        <w:jc w:val="left"/>
        <w:rPr>
          <w:rFonts w:ascii="Times New Roman" w:hAnsi="Times New Roman"/>
          <w:sz w:val="20"/>
        </w:rPr>
      </w:pPr>
      <w:r>
        <w:rPr>
          <w:rFonts w:ascii="Times New Roman" w:hAnsi="Times New Roman"/>
          <w:sz w:val="20"/>
        </w:rPr>
        <w:t xml:space="preserve">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challenging the inventorship or ownership of our owned or licensed intellectual property or claims asserting ownership of what we regard as our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 </w:t>
      </w:r>
    </w:p>
    <w:p>
      <w:pPr>
        <w:pStyle w:val="TextBody"/>
        <w:bidi w:val="0"/>
        <w:spacing w:before="240" w:after="0"/>
        <w:jc w:val="left"/>
        <w:rPr>
          <w:rFonts w:ascii="Times New Roman" w:hAnsi="Times New Roman"/>
          <w:sz w:val="20"/>
        </w:rPr>
      </w:pPr>
      <w:r>
        <w:rPr>
          <w:rFonts w:ascii="Times New Roman" w:hAnsi="Times New Roman"/>
          <w:sz w:val="20"/>
        </w:rPr>
        <w:t xml:space="preserve">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and may become involved with litigation or USPTO actions with various third parties. For example,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We expect that the number of such types of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face and expect to continue to face allegations of patent infringement, and we may face claims regarding such allegations,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 </w:t>
      </w:r>
    </w:p>
    <w:p>
      <w:pPr>
        <w:pStyle w:val="TextBody"/>
        <w:bidi w:val="0"/>
        <w:spacing w:before="240" w:after="0"/>
        <w:jc w:val="left"/>
        <w:rPr>
          <w:rFonts w:ascii="Times New Roman" w:hAnsi="Times New Roman"/>
          <w:sz w:val="20"/>
        </w:rPr>
      </w:pPr>
      <w:r>
        <w:rPr>
          <w:rFonts w:ascii="Times New Roman" w:hAnsi="Times New Roman"/>
          <w:sz w:val="20"/>
        </w:rPr>
        <w:t xml:space="preserve">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 </w:t>
      </w:r>
    </w:p>
    <w:p>
      <w:pPr>
        <w:pStyle w:val="TextBody"/>
        <w:bidi w:val="0"/>
        <w:spacing w:before="240" w:after="0"/>
        <w:jc w:val="left"/>
        <w:rPr>
          <w:rFonts w:ascii="Times New Roman" w:hAnsi="Times New Roman"/>
          <w:sz w:val="20"/>
        </w:rPr>
      </w:pPr>
      <w:r>
        <w:rPr>
          <w:rFonts w:ascii="Times New Roman" w:hAnsi="Times New Roman"/>
          <w:sz w:val="20"/>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hAnsi="Times New Roman"/>
          <w:i/>
          <w:sz w:val="20"/>
        </w:rPr>
        <w:t>inter partes</w:t>
      </w:r>
      <w:r>
        <w:rPr>
          <w:rFonts w:ascii="Times New Roman" w:hAnsi="Times New Roman"/>
          <w:sz w:val="20"/>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 </w:t>
      </w:r>
    </w:p>
    <w:p>
      <w:pPr>
        <w:pStyle w:val="TextBody"/>
        <w:bidi w:val="0"/>
        <w:spacing w:before="240" w:after="0"/>
        <w:jc w:val="left"/>
        <w:rPr>
          <w:rFonts w:ascii="Times New Roman" w:hAnsi="Times New Roman"/>
          <w:sz w:val="20"/>
        </w:rPr>
      </w:pPr>
      <w:r>
        <w:rPr>
          <w:rFonts w:ascii="Times New Roman" w:hAnsi="Times New Roman"/>
          <w:sz w:val="20"/>
        </w:rPr>
        <w:t xml:space="preserve">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 </w:t>
      </w:r>
    </w:p>
    <w:p>
      <w:pPr>
        <w:pStyle w:val="TextBody"/>
        <w:bidi w:val="0"/>
        <w:spacing w:before="240" w:after="0"/>
        <w:jc w:val="left"/>
        <w:rPr>
          <w:rFonts w:ascii="Times New Roman" w:hAnsi="Times New Roman"/>
          <w:sz w:val="20"/>
        </w:rPr>
      </w:pPr>
      <w:r>
        <w:rPr>
          <w:rFonts w:ascii="Times New Roman" w:hAnsi="Times New Roman"/>
          <w:sz w:val="20"/>
        </w:rPr>
        <w:t xml:space="preserve">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our competitive position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ours, but that are not covered by the claims of the patents that we license or may own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license partners or future collaborators, might not have been the first to make the inventions covered by the issued patent or pending patent applications that we license or may own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license partners or future collaborators, might not have been the first to file patent applications covering certain of our or their inventions;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owned or licensed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pending licensed patent applications or those that we may own in the future will not lead to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we hold rights to now or in the future may be held invalid or unenforceable, including as a result of legal challenges by our competitors;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have access to the same intellectual property rights licensed to us in the future on a nonexclusive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10"/>
        <w:gridCol w:w="6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that are patentable;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or other intellectual property rights of others may have an adverse effect on our business;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choose not to file a patent for certain trade secrets or know-how, and a third party may subsequently file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contain third-party open source software components and failure to comply with the terms of the underlying open source software licenses could restrict our ability to sell our products or may require us to publicly disclose our proprietary software. </w:t>
      </w:r>
    </w:p>
    <w:p>
      <w:pPr>
        <w:pStyle w:val="TextBody"/>
        <w:bidi w:val="0"/>
        <w:spacing w:before="120" w:after="0"/>
        <w:jc w:val="left"/>
        <w:rPr>
          <w:rFonts w:ascii="Times New Roman" w:hAnsi="Times New Roman"/>
          <w:sz w:val="20"/>
        </w:rPr>
      </w:pPr>
      <w:r>
        <w:rPr>
          <w:rFonts w:ascii="Times New Roman" w:hAnsi="Times New Roman"/>
          <w:sz w:val="20"/>
        </w:rPr>
        <w:t xml:space="preserve">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we use open source technologies or licensed third-party technologies in our AI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 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legislative, judicial and regulatory landscapes relating to AI are evolving and may impact our ability to use AI, and could limit our ability to operate and expand our business, cause revenue to decline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on May 17, 2024, Colorado became the first state in the United States to pass a law that requires developers of high-risk AI systems to avoid algorithmic discrimination involving certain AI decisions and to extensively document how the high-risk AI system was evaluated for performance and mitigation of algorithmic discrimination. The law also requires documentation of data governance measures used with the training data sets, the intended outputs of the high-risk AI system, how the AI system should and should not be used, and other aspects of the system. The law could require us to significantly alter our use of AI or how we train our algorithms, which could lead to increased costs. The law does not go into effect until February 1, 2026. </w:t>
      </w:r>
    </w:p>
    <w:p>
      <w:pPr>
        <w:pStyle w:val="TextBody"/>
        <w:bidi w:val="0"/>
        <w:spacing w:before="240" w:after="0"/>
        <w:jc w:val="left"/>
        <w:rPr>
          <w:rFonts w:ascii="Times New Roman" w:hAnsi="Times New Roman"/>
          <w:sz w:val="20"/>
        </w:rPr>
      </w:pPr>
      <w:r>
        <w:rPr>
          <w:rFonts w:ascii="Times New Roman" w:hAnsi="Times New Roman"/>
          <w:sz w:val="20"/>
        </w:rPr>
        <w:t xml:space="preserve">Further, on July 12, 2024, the AI Act was published in the Official Journal of the European Union and will follow a phased implementation process with the bulk of its requirements becoming applicable from August 2, 2026 (including the core of the requirements relevant to the “high-risk” systems referred to below). The AI Act will establish, among other things, a risk-based governance framework for regulating AI systems in the EU. This framework would categorize AI systems, based largely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risks associated with such AI systems’ intended purposes or their capabilities, for example, prohibiting certain “unacceptable” AI practices, classifying certain AI systems as “high-risk” systems that must meet stringent compliance requirements (including various transparency, conformity and risk assessment, monitoring, and human oversight requirements), introducing specific compliance obligations for certain “general-purpose AI systems” (more commonly known as foundation models) with all other AI systems being considered either limited risk (requiring primarily adherence to certain transparency requirements) or low risk. There is a risk that our use of AI may obligate us to comply with the applicable requirements of the AI Act, which may impose additional costs on us, increase our risk of liability or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Other jurisdictions may decide to adopt similar or more restrictive legislation that may render the use of such technologies challenging. We may not be able to adequately anticipate or respond to these evolving laws and regulations, and we may need to expend additional resources to adjust our offerings in certain jurisdictions if applicable legal frameworks are inconsistent across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predict the impact our dual class structure may have on the market price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public trading market for our Class A common stock may not continue to develop or be sustained. </w:t>
      </w:r>
    </w:p>
    <w:p>
      <w:pPr>
        <w:pStyle w:val="TextBody"/>
        <w:bidi w:val="0"/>
        <w:spacing w:before="120" w:after="0"/>
        <w:jc w:val="left"/>
        <w:rPr>
          <w:rFonts w:ascii="Times New Roman" w:hAnsi="Times New Roman"/>
          <w:sz w:val="20"/>
        </w:rPr>
      </w:pPr>
      <w:r>
        <w:rPr>
          <w:rFonts w:ascii="Times New Roman" w:hAnsi="Times New Roman"/>
          <w:sz w:val="20"/>
        </w:rPr>
        <w:t xml:space="preserve">Prior to the IPO, there was no public market for our Class A common stock. An active public trading market for our Class A common stock may not continue to develop or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incurred, and expect to further incur, substantial federal and state tax withholding and remittance obligations in connection with the settlement of RSUs that vested in connection with the IPO. The manner in which we fund these tax liabilities may have an adverse effect on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and expect to further incur, substantial federal and state tax obligations in light of the large number of RSUs that vested in connection with the IPO, a portion of which settled at the time of the IPO and the remainder of which will settle during the 180-day period following the date of the IPO (or, subject to certain conditions, a shorter period), or the restricted period. The RSUs granted prior to the date of the IPO vest upon the satisfaction of service-based and performance-based vesting conditions. We used approximately $69.9 million of the net proceeds from the IPO to satisfy federal and state tax withholding and remittance obligations in connection with the net settlement of a portion of the RSUs outstanding as of June 30, 2024 for which the service-based vesting condition was satisfied before June 14, 2024 and for which the performance-based vesting condition was satisfied in connection with the IPO, or the RSU Net Settlement. In connection with the settlement of these RSUs, we withheld certain shares underlying RSUs and remitted federal and state taxes on behalf of the holders of such RSUs at applicable statutory tax withholding rates based on the IPO per share price. For vested RSUs that were not settled in connection with the IPO, we will satisfy related federal and state tax withholding and remittance obligations by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(the “Additional RSU Settlement”). See “Future sales of our Class A common stock in the public market could cause the market price of our Class A common stock to decline.”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Class A common stock in such transactions and our stockholders’ personal tax rates. However, with respect to employees that are not executive officers, if sell-to-cover proceeds are not available at the time taxes must be remitted to state and federal tax authorities, we would need to remit taxes to the relevant tax authorities using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cash on hand, which may include cash proceeds generated from the IPO, pending the receipt of such sell-to- cover proceeds. If we are required to remit tax obligations on behalf of our employees without having first received proceeds from their sell-to-cover transactions, we could have significant cash outlays that could have an adverse effect on our financial condition. In addition, shares sold by our Chief Executive Officer and other employees in sell-to-cover transactions may have an adverse effect on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Class A common stock in the public market could cause the market price of our Class A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our IPO, and therefore they may take steps to sell their shares or otherwise secure the unrecognized gains on those shares. We are unable to predict the timing of or the effect that such sales may have on the prevailing market price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All of the Class A common stock sold in our IPO is will be freely tradable without restrictions or further registration under the Securities Act, except for any shares held by our affiliates as defined in Rule 144 under the Securities Act, or Rule 144, and shares subject to lock-up and market standoff agreements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all of our directors, executive officers, and the holders of substantially all of our common stock and securities exercisable for or convertible into our common stock outstanding immediately prior to the closing of the IPO (except for the RSUs previously issued to our employees other than our executive officers, including the RSUs that settled or will settle in connection with the RSU Net Settlement or the vested RSUs that were not settled in connection with the IPO that we will satisfy related federal and state tax withholding and remittance obligations by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or the Additional RSU Settlement, and the warrants issued to Allen and AstraZeneca), have agreed with the underwriters that, during the restricted period,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In addition, the restricted period may be shortened with respect to a portion of the locked-up securities under certain circumstances and the lock-up agreements are subject to a number of important exceptions. Morgan Stanley &amp; Co.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J.P. Morgan Securities LLC may release any of the securities subject to these lock-up agreements at any time, subject to applicable notice requirements. In addition to the restrictions contained in the lock-up agreements, we have entered into market standoff agreements with substantially all of our RSU holders, including holders of the RSUs that settled or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 If not earlier released, all of the shares of Class A common stock not sold in the IPO will become eligible for sale upon the expiration of the restricted period, except for any shares held by our affiliates as defined in Rule 144.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certain exceptions in the lock-up agreements and because of our ability to release RSU holders early under the market standoff agreements, certain shares of our Class A common stock may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 </w:t>
      </w:r>
    </w:p>
    <w:p>
      <w:pPr>
        <w:pStyle w:val="TextBody"/>
        <w:bidi w:val="0"/>
        <w:spacing w:before="0" w:after="0"/>
        <w:jc w:val="left"/>
        <w:rPr/>
      </w:pPr>
      <w:r>
        <w:rPr/>
        <w:t> </w:t>
      </w:r>
    </w:p>
    <w:tbl>
      <w:tblPr>
        <w:tblW w:w="7800" w:type="dxa"/>
        <w:jc w:val="left"/>
        <w:tblInd w:w="0" w:type="dxa"/>
        <w:tblLayout w:type="fixed"/>
        <w:tblCellMar>
          <w:top w:w="0" w:type="dxa"/>
          <w:left w:w="0" w:type="dxa"/>
          <w:bottom w:w="0" w:type="dxa"/>
          <w:right w:w="0" w:type="dxa"/>
        </w:tblCellMar>
      </w:tblPr>
      <w:tblGrid>
        <w:gridCol w:w="3305"/>
        <w:gridCol w:w="120"/>
        <w:gridCol w:w="105"/>
        <w:gridCol w:w="1730"/>
        <w:gridCol w:w="60"/>
        <w:gridCol w:w="120"/>
        <w:gridCol w:w="131"/>
        <w:gridCol w:w="2154"/>
        <w:gridCol w:w="75"/>
      </w:tblGrid>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First Available for Sale into the Market</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RSUs</w:t>
              <w:br/>
              <w:t>Expected to Settle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 Number</w:t>
              <w:br/>
              <w:t>of Shares of Class A</w:t>
              <w:br/>
              <w:t>Common Stock</w:t>
              <w:br/>
              <w:t>Expected to be Sold in</w:t>
              <w:br/>
              <w:t>Sell-to-Cover</w:t>
              <w:br/>
              <w:t>Transactions(1)</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12, 2024</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5,373,611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154" w:type="dxa"/>
            <w:tcBorders/>
            <w:shd w:fill="CCEEFF" w:val="clear"/>
            <w:vAlign w:val="center"/>
          </w:tcPr>
          <w:p>
            <w:pPr>
              <w:pStyle w:val="TableContents"/>
              <w:bidi w:val="0"/>
              <w:spacing w:before="0" w:after="283"/>
              <w:jc w:val="right"/>
              <w:rPr/>
            </w:pPr>
            <w:r>
              <w:rPr/>
              <w:t>2,246,748</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October 11, 2024</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5,373,611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154" w:type="dxa"/>
            <w:tcBorders/>
            <w:vAlign w:val="center"/>
          </w:tcPr>
          <w:p>
            <w:pPr>
              <w:pStyle w:val="TableContents"/>
              <w:bidi w:val="0"/>
              <w:spacing w:before="0" w:after="283"/>
              <w:jc w:val="right"/>
              <w:rPr/>
            </w:pPr>
            <w:r>
              <w:rPr/>
              <w:t>2,246,748</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an estimated 42% tax rate. Includes an estimated approximately 807,188 shares that may be sold on or after each of the 91st and 120th day following the date of our IPO in respect of settlement of RSUs held by our Chief Executive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In addition, if additional net settlement transactions occur on or prior to the dates set forth above, the number of shares of Class A common stock to be sold in each sell-to-cover transaction will be reduced proportionally.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were 210,000 shares of Class A common stock issuable upon the exercise of a stock option outstanding as of June 30, 2024. We intend to register all of the shares of Class A common stock issuable upon the exercise of the outstanding option, settlement of outstanding RSUs and other equity incentives we may grant in the future for public resale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AstraZeneca holds an outstanding warrant, pursuant to which AstraZeneca has the right to purchase $100 million in shares of our Class A common stock at an exercise price equal to the public offering price in our IPO. The shares of Class A common stock will become eligible for sale in the public market to the extent such warrant is exercised, subject to the market standoff provision included in such agreement and compliance with applicable securities laws. In addition, pursuant to the Warrant Net Exercise, Allen, an underwriter in our offering, received 109,459 shares of Class A common stock following our IPO. The shares of Class A common stock issued pursuant to the Warrant Net Exercise will become eligible for sale in the public market, subject to the market standoff provision contained in the Allen warrant agreement and compliance with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based on shares outstanding as of June 17, 2024, the closing date of our IPO, holders of approximately 130,107,420 shares of Class A common stock and 5,043,789 shares of Class B common stock, or approximately 87.7% of our capital stock, have rights, subject to some conditions, to require us to file registration statements covering the sale of their shares or to include their shares in registration statements that we may file for ourselves or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Sales, short sales, or hedging transactions involving our equity securities, whether before or after our IPO and whether or not we believe them to be prohibited, could adversely affect the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lock-up agreements relating to the IPO are subject to a number of important exceptions and the restricted period pursuant to such lock-up agreements or the market standoff agreements with our RSU holders may be shortened. In addition, a significant number of shares may be sold in sell-to-cover transactions and we may issue a significant number of shares as consideration in certain transactions, including during the restricted period. As a result, a large number of shares of Class A common stock may become available for resale in the immediate future, including within 180 days after the date of the final prospectus filed in connection with the IPO, which could materially depress the market price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we, all of our directors, executive officers, and the holders of substantially all of our common stock and securities exercisable for or convertible into our common stock outstanding immediately prior to the closing of the IPO (except for the RSUs previously issued to our employees other than our executive officers, and the warrants issued to Allen and AstraZeneca) have agreed with the underwriters that, until December 10, 2024, which is 180 days after the date of the final prospectus filed in connection with the IPO, we and they will not offer, sell, make any short sale or otherwise dispose of any of our shares of common stock, any options or warrants to purchase any of our shares of common stock or any securities convertible into or exchangeable for or that represent the right to receive shares of our common stock, such lock-up agreements are subject to a number of important exceptions. For example, at any time during such period, we may agree to issue or issue up to 15.0% of the total number of shares of our common stock outstanding immediately following the issuance of our Class A common stock in the IPO, or 24,724,891 shares, in connection with an acquisition, merger, joint venture, strategic alliance, commercial or other collaborative relationship or certain other transactions. In addition, under the market standoff agreements that we have entered into with substantially all of our RSU holders, we have the right to release early some or all shares of our Class A common stock issuable pursuant to such RSUs, subject to the consent of Morgan Stanley &amp; Co. LLC and J.P. Morgan Securities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Moreover, Morgan Stanley &amp; Co. LLC and J.P. Morgan Securities LLC may release any of the securities subject to these lock-up agreements at any time.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Each of the events described above may occur independently of the other events. As a result of any such event or any combination thereof, a large number of shares of our Class A common stock may become available for resale in the immediate future, including before December 10, 2024, which is 180 days after the date of the final prospectus filed in connection with the IPO, which may materially depress the market price of our Class A common stock. In addition, some or all of these events may occur in close proximity or simultaneously, which may exacerbate their impact on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for the foreseeable future and, as a result, your ability to achieve a return on your investment will depend on appreciation in the price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we cannot be certain if the reduced reporting and disclosure requirements applicable to emerging growth companies will make our Class A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 </w:t>
      </w:r>
    </w:p>
    <w:p>
      <w:pPr>
        <w:pStyle w:val="TextBody"/>
        <w:bidi w:val="0"/>
        <w:spacing w:before="240" w:after="0"/>
        <w:jc w:val="left"/>
        <w:rPr>
          <w:rFonts w:ascii="Times New Roman" w:hAnsi="Times New Roman"/>
          <w:sz w:val="20"/>
        </w:rPr>
      </w:pPr>
      <w:r>
        <w:rPr>
          <w:rFonts w:ascii="Times New Roman" w:hAnsi="Times New Roman"/>
          <w:sz w:val="20"/>
        </w:rPr>
        <w:t xml:space="preserve">We will remain an emerging growth company until the earliest of: (1) the last day of the fiscal year following the fifth anniversary of our IPO;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charter documents and under Delaware law could make an acquisition of our company more difficult, limit attempts by our stockholders to replace or remove our current management and limit the market price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effects of our dual class structure, provisions in our amended and restated certificate of incorporation and amended and restated bylaws, as they are in effect as of the completion of our IPO,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Court of Chancery of the State of Delaware is the exclusive forum for the following types of actions or proceedings under Delaware statutory or common law: </w:t>
      </w:r>
    </w:p>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claim or cause of action brought on our behalf;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asserting a breach of fiduciary duty;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against us arising under the Delaware General Corporation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arising under or seeking to interpret our amended and restated certificate of incorporation or our amended and restated bylaws; and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against us that is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240" w:after="0"/>
        <w:jc w:val="left"/>
        <w:rPr>
          <w:rFonts w:ascii="Times New Roman" w:hAnsi="Times New Roman"/>
          <w:sz w:val="20"/>
        </w:rPr>
      </w:pPr>
      <w:r>
        <w:rPr>
          <w:rFonts w:ascii="Times New Roman" w:hAnsi="Times New Roman"/>
          <w:sz w:val="20"/>
        </w:rPr>
        <w:t xml:space="preserve">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price may be volatile, and the value of our Class A common stock may decline.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Class A common stock may be highly volatile and may fluctuate or decline substantially as a result of a variety of factors, some of which are beyond our control, including: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financial condition or results of operations;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variance in our financial performance from expectations of securities analysts;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pricing of our products;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service or pay down existing or future debt obligations;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projected operating and financial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our Platform and products, including changes in the regulation of data or in the structure of healthcare payment systems;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business developments, acquisitions, or new products;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0"/>
        <w:gridCol w:w="6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data breaches, disruptions to or other incidents involving our products;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involvement in litigation or governmental investigations;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Class A common stock by us or our stockholders, including as a result of sell-to- cover transactions during the restricted period, as well as the anticipation of sell-to-cover transactions, lock-up releases or the expiration of the related restricted period;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senior management or key personnel;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new or changed securities analysts’ reports or recommendations; </w:t>
            </w:r>
          </w:p>
        </w:tc>
      </w:tr>
    </w:tbl>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75"/>
        <w:gridCol w:w="110"/>
        <w:gridCol w:w="60"/>
        <w:gridCol w:w="4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trading volume of our Class A common stock;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anticipated future size and growth rate of our market; and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economic and market conditions in general, or in our industry in particular.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publish unfavorable or inaccurate research about our business, the market price and trading volume of our Class A common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and trading volume of our Class A common stock following the completion of our IPO is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increased costs as a result of operating as a public company, and our management will be required to devote substantial time to compliance with our public company responsibilities and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could be adversely affected by the effects of health pandemics or epidemics, including the COVID-19 global pandemic. </w:t>
      </w:r>
    </w:p>
    <w:p>
      <w:pPr>
        <w:pStyle w:val="TextBody"/>
        <w:bidi w:val="0"/>
        <w:spacing w:before="120" w:after="0"/>
        <w:jc w:val="left"/>
        <w:rPr>
          <w:rFonts w:ascii="Times New Roman" w:hAnsi="Times New Roman"/>
          <w:sz w:val="20"/>
        </w:rPr>
      </w:pPr>
      <w:r>
        <w:rPr>
          <w:rFonts w:ascii="Times New Roman" w:hAnsi="Times New Roman"/>
          <w:sz w:val="20"/>
        </w:rPr>
        <w:t xml:space="preserve">Our business could be adversely affected by the effects of health pandemics or epidemics, including the COVID-19 global pandemic. For example, the COVID-19 global pandemic and the various attempts throughout the world to contain it created significant volatility, uncertainty and disruption. </w:t>
      </w:r>
    </w:p>
    <w:p>
      <w:pPr>
        <w:pStyle w:val="TextBody"/>
        <w:bidi w:val="0"/>
        <w:spacing w:before="240" w:after="0"/>
        <w:jc w:val="left"/>
        <w:rPr>
          <w:rFonts w:ascii="Times New Roman" w:hAnsi="Times New Roman"/>
          <w:sz w:val="20"/>
        </w:rPr>
      </w:pPr>
      <w:r>
        <w:rPr>
          <w:rFonts w:ascii="Times New Roman" w:hAnsi="Times New Roman"/>
          <w:sz w:val="20"/>
        </w:rPr>
        <w:t xml:space="preserve">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causes severe disruption again in the future, vendors of equipment and reagents for our operations could also reduce production or even go out of business, resulting in supply constraints for us. The COVID-19 pandemic resulted in, and could continue to cause, increased costs or delays to production and development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The COVID-19 pandemic has also led to uncertainties related to our growth, forecast and trends. Our historic results such as revenue, operating margins, cash flows, tests performed, and other financial and operating metrics, may not be indicative of our results for future periods. For example, following a reduced demand for COVID-19 testing, we stopped offering COVID-19 PCR diagnostic tests in the first quarter of 2023. Increases in the number of diagnostic tests performed by us prior to the COVID-19 pandemic may reflect an acceleration of growth that we may not see during or after the COVID-19 pandemic. </w:t>
      </w:r>
    </w:p>
    <w:p>
      <w:pPr>
        <w:pStyle w:val="TextBody"/>
        <w:bidi w:val="0"/>
        <w:spacing w:before="240" w:after="0"/>
        <w:jc w:val="left"/>
        <w:rPr>
          <w:rFonts w:ascii="Times New Roman" w:hAnsi="Times New Roman"/>
          <w:sz w:val="20"/>
        </w:rPr>
      </w:pPr>
      <w:r>
        <w:rPr>
          <w:rFonts w:ascii="Times New Roman" w:hAnsi="Times New Roman"/>
          <w:sz w:val="20"/>
        </w:rPr>
        <w:t xml:space="preserve">While these effects have subsided and continue to subside, the full extent to which the COVID-19 pandemic may continue to impact our performance, financial condition, volume of business, results of operations and cash flows will depend on future developments that are uncertain and cannot be accurately predicted. We cannot assure you that these effects will remain reduced in the future, including due to potential new public health outbreaks. To the extent future public health outbreaks adversely affect our business and financial results, they may also have the effect of heightening many of the other risks described in this “Risk Factors”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 </w:t>
      </w:r>
    </w:p>
    <w:p>
      <w:pPr>
        <w:pStyle w:val="TextBody"/>
        <w:bidi w:val="0"/>
        <w:spacing w:before="120" w:after="0"/>
        <w:jc w:val="left"/>
        <w:rPr>
          <w:rFonts w:ascii="Times New Roman" w:hAnsi="Times New Roman"/>
          <w:sz w:val="20"/>
        </w:rPr>
      </w:pPr>
      <w:r>
        <w:rPr>
          <w:rFonts w:ascii="Times New Roman" w:hAnsi="Times New Roman"/>
          <w:sz w:val="20"/>
        </w:rPr>
        <w:t xml:space="preserve">We have made acquisitions of businesses, technologies and assets and may pursue additional acquisitions in the future, one or more of which may be substantial. We also may pursue strategic alliances and additional joint ventures that leverage our Platform and industry experience to expand our product offerings or distribution. We have limited experience with acquisitions, joint ventures and forming strategic partnerships. We compete for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 </w:t>
      </w:r>
    </w:p>
    <w:p>
      <w:pPr>
        <w:pStyle w:val="TextBody"/>
        <w:bidi w:val="0"/>
        <w:spacing w:before="240" w:after="0"/>
        <w:jc w:val="left"/>
        <w:rPr>
          <w:rFonts w:ascii="Times New Roman" w:hAnsi="Times New Roman"/>
          <w:sz w:val="20"/>
        </w:rPr>
      </w:pPr>
      <w:r>
        <w:rPr>
          <w:rFonts w:ascii="Times New Roman" w:hAnsi="Times New Roman"/>
          <w:sz w:val="20"/>
        </w:rPr>
        <w:t xml:space="preserve">We evaluate opportunities for transactions of these types from time to time. For example, on May 18, 2024, we entered into the Joint Venture Agreement (the “Joint Venture Agreement”), by and among us, SoftBank Group Corporation (“SoftBank”), SoftBank Group Japan Corporation and Pegasos Corp. (the “Joint Venture”), pursuant to which the Joint Venture will engage in certain business activities in Japan similar to those conducted by us in the United States, including performing clinical sequencing, organizing patient data, and building a real world data business in Japan. On July 18, 2024, we and SoftBank initially capitalized the Joint Venture with ¥30,000,000,000, split evenly between the two parties and each received 50% of the Joint Venture’s outstanding capital stock and board seats. We have limited experience forming joint ventures and we may not realize the anticipated benefits of the Joint Venture. We may also realize losses related to our investment in the Joint Venture, which could have a material negative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To finance any acquisitions, joint ventures or investments, we may choose to issue shares of our common stock as consideration, which would dilute the ownership of our stockholders. During the period ending on December 10, 2024, which is 180 days after the date of the Final Prospectus filed in connection with the IPO, we are permitted to issue up to 15.0% of the total number of shares of our common stock outstanding immediately following this offering in connection with acquisitions, joint ventures, commercial agreements or other similar arrangements. Additional funds may not be available on terms that are favorable to us, or at all. If the price of our common stock is low or volatile, we may not be able to acquire other companies or fund a joint venture project using our stock as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 carryforwards and certain other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net losses since our inception and we may never achieve or sustain profitability. Generally, losses incurred will carry forward until such losses expire (for losses generated prior to January 1, 2018) or are used to offset future taxable income, if any. Under current law, U.S. federal net operating losses, or NOLs, incurred in taxable years beginning after December 31, 2017, can be carried forward indefinitely to offset future taxable income, but the deductibility of such U.S. federal NOL carryforwards in a taxable year is limited to 80% of taxable income in such year.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These changes may adversely affect our future cash flow.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depend on the services of our Chief Operating Officer, Ryan Fukushima. Mr. Fukushima is a co-Founder of Pathos AI, Inc. and currently serves as its interim Chief Executive Officer. Under the terms of his employment agreement with Tempus, Mr. Fukushima devotes no less than 50% of his professional activities to Tempus.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While our executive officers have entered into employment agreements with us, they are at-will employees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 </w:t>
      </w:r>
    </w:p>
    <w:p>
      <w:pPr>
        <w:pStyle w:val="TextBody"/>
        <w:bidi w:val="0"/>
        <w:spacing w:before="240" w:after="0"/>
        <w:jc w:val="left"/>
        <w:rPr>
          <w:rFonts w:ascii="Times New Roman" w:hAnsi="Times New Roman"/>
          <w:sz w:val="20"/>
        </w:rPr>
      </w:pPr>
      <w:r>
        <w:rPr>
          <w:rFonts w:ascii="Times New Roman" w:hAnsi="Times New Roman"/>
          <w:sz w:val="20"/>
        </w:rPr>
        <w:t xml:space="preserve">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 Our employees also are subject to certain post-employment noncompete obligations; however, on April 23, 2024, the FTC voted to finalize a rule banning almost all post-employment noncompetes, subject to narrow exceptions, including existing non-compete agreements with “senior executives” (as defined under the rule). If the FTC ban becomes effective, as expected, and is implemented and these noncompete obligations are therefore deemed to be unenforceable, our competitors may be more successful in recruiting our employees. </w:t>
      </w:r>
    </w:p>
    <w:p>
      <w:pPr>
        <w:pStyle w:val="TextBody"/>
        <w:bidi w:val="0"/>
        <w:spacing w:before="240" w:after="0"/>
        <w:jc w:val="left"/>
        <w:rPr>
          <w:rFonts w:ascii="Times New Roman" w:hAnsi="Times New Roman"/>
          <w:sz w:val="20"/>
        </w:rPr>
      </w:pPr>
      <w:r>
        <w:rPr>
          <w:rFonts w:ascii="Times New Roman" w:hAnsi="Times New Roman"/>
          <w:sz w:val="20"/>
        </w:rPr>
        <w:t xml:space="preserve">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previously identified a material weakness in our internal control over financial reporting. If we fail to maintain an effective system of internal control over financial reporting, we may not be able to accurately report our financial results or prevent fraud.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our IPO, we are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is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We did not design or maintain an effective control environment due to an insufficient complement of personnel with the appropriate level of technical accounting and financial reporting knowledge and experience commensurate with our financial reporting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 </w:t>
      </w:r>
    </w:p>
    <w:p>
      <w:pPr>
        <w:pStyle w:val="TextBody"/>
        <w:bidi w:val="0"/>
        <w:spacing w:before="240" w:after="0"/>
        <w:jc w:val="left"/>
        <w:rPr>
          <w:rFonts w:ascii="Times New Roman" w:hAnsi="Times New Roman"/>
          <w:sz w:val="20"/>
        </w:rPr>
      </w:pPr>
      <w:r>
        <w:rPr>
          <w:rFonts w:ascii="Times New Roman" w:hAnsi="Times New Roman"/>
          <w:sz w:val="20"/>
        </w:rPr>
        <w:t xml:space="preserve">Refer to Item 4. Controls and Procedures for management’s assertion with respect to the effective disclosure controls and procedures in place as of the end of the period covered by this Quarterly Report on Form 10-Q. </w:t>
      </w:r>
    </w:p>
    <w:p>
      <w:pPr>
        <w:pStyle w:val="TextBody"/>
        <w:bidi w:val="0"/>
        <w:spacing w:before="240" w:after="0"/>
        <w:jc w:val="left"/>
        <w:rPr>
          <w:rFonts w:ascii="Times New Roman" w:hAnsi="Times New Roman"/>
          <w:sz w:val="20"/>
        </w:rPr>
      </w:pPr>
      <w:r>
        <w:rPr>
          <w:rFonts w:ascii="Times New Roman" w:hAnsi="Times New Roman"/>
          <w:sz w:val="20"/>
        </w:rPr>
        <w:t xml:space="preserve">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before="240" w:after="0"/>
        <w:jc w:val="left"/>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comparable foreign programs, or from coverage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claims and proceedings could adversely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officers, directors and principal stockholders may pursue corporate opportunities independent of us that could present conflicts with our and our stockholders’ interests.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were to be sued for product liability or professional liability, we could face substantial liabilities that exceed our resources. </w:t>
      </w:r>
    </w:p>
    <w:p>
      <w:pPr>
        <w:pStyle w:val="TextBody"/>
        <w:bidi w:val="0"/>
        <w:spacing w:before="120" w:after="0"/>
        <w:jc w:val="left"/>
        <w:rPr>
          <w:rFonts w:ascii="Times New Roman" w:hAnsi="Times New Roman"/>
          <w:sz w:val="20"/>
        </w:rPr>
      </w:pPr>
      <w:r>
        <w:rPr>
          <w:rFonts w:ascii="Times New Roman" w:hAnsi="Times New Roman"/>
          <w:sz w:val="20"/>
        </w:rPr>
        <w:t xml:space="preserve">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 </w:t>
      </w:r>
    </w:p>
    <w:p>
      <w:pPr>
        <w:pStyle w:val="TextBody"/>
        <w:bidi w:val="0"/>
        <w:spacing w:before="240" w:after="0"/>
        <w:jc w:val="left"/>
        <w:rPr>
          <w:rFonts w:ascii="Times New Roman" w:hAnsi="Times New Roman"/>
          <w:sz w:val="20"/>
        </w:rPr>
      </w:pPr>
      <w:r>
        <w:rPr>
          <w:rFonts w:ascii="Times New Roman" w:hAnsi="Times New Roman"/>
          <w:sz w:val="20"/>
        </w:rPr>
        <w:t xml:space="preserve">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depend on information technology systems, including on-premises, co-located and third-party data centers and platforms, and any interruptions of service or failures may impair and harm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 </w:t>
      </w:r>
    </w:p>
    <w:p>
      <w:pPr>
        <w:pStyle w:val="TextBody"/>
        <w:bidi w:val="0"/>
        <w:spacing w:before="240" w:after="0"/>
        <w:jc w:val="left"/>
        <w:rPr>
          <w:rFonts w:ascii="Times New Roman" w:hAnsi="Times New Roman"/>
          <w:sz w:val="20"/>
        </w:rPr>
      </w:pPr>
      <w:r>
        <w:rPr>
          <w:rFonts w:ascii="Times New Roman" w:hAnsi="Times New Roman"/>
          <w:sz w:val="20"/>
        </w:rPr>
        <w:t xml:space="preserve">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It may be difficult and/or costly to detect, investigate, mitigate, contain, and remediate a cyber-attack or other security incident and our efforts to do so may not be successful. Actions taken by us or the third parties with whom we work to detect, investigate, mitigate, contain, and remediate a security incident could result in outages, data losses, and disruptions of our business.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 </w:t>
      </w:r>
    </w:p>
    <w:p>
      <w:pPr>
        <w:pStyle w:val="TextBody"/>
        <w:bidi w:val="0"/>
        <w:spacing w:before="240" w:after="0"/>
        <w:jc w:val="left"/>
        <w:rPr>
          <w:rFonts w:ascii="Times New Roman" w:hAnsi="Times New Roman"/>
          <w:sz w:val="20"/>
        </w:rPr>
      </w:pPr>
      <w:r>
        <w:rPr>
          <w:rFonts w:ascii="Times New Roman" w:hAnsi="Times New Roman"/>
          <w:sz w:val="20"/>
        </w:rPr>
        <w:t xml:space="preserve">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 </w:t>
      </w:r>
    </w:p>
    <w:p>
      <w:pPr>
        <w:pStyle w:val="TextBody"/>
        <w:bidi w:val="0"/>
        <w:spacing w:before="240" w:after="0"/>
        <w:jc w:val="left"/>
        <w:rPr>
          <w:rFonts w:ascii="Times New Roman" w:hAnsi="Times New Roman"/>
          <w:sz w:val="20"/>
        </w:rPr>
      </w:pPr>
      <w:r>
        <w:rPr>
          <w:rFonts w:ascii="Times New Roman" w:hAnsi="Times New Roman"/>
          <w:sz w:val="20"/>
        </w:rPr>
        <w:t xml:space="preserve">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Patient data may be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or certification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 </w:t>
      </w:r>
    </w:p>
    <w:p>
      <w:pPr>
        <w:pStyle w:val="TextBody"/>
        <w:bidi w:val="0"/>
        <w:spacing w:before="240" w:after="0"/>
        <w:jc w:val="left"/>
        <w:rPr>
          <w:rFonts w:ascii="Times New Roman" w:hAnsi="Times New Roman"/>
          <w:sz w:val="20"/>
        </w:rPr>
      </w:pPr>
      <w:r>
        <w:rPr>
          <w:rFonts w:ascii="Times New Roman" w:hAnsi="Times New Roman"/>
          <w:sz w:val="20"/>
        </w:rPr>
        <w:t xml:space="preserve">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Our contracts may not contain limitations of liability, and even where they do, there can be no assurance that limitations of liability in our contracts are sufficient to protect us from liabilities, damages, or claims related to our data privacy and security obligations.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dual class structure of our common stock will have the effect of concentrating voting control with our Chief Executive Officer, Founder and Chairman, which will limit your ability to influence the outcome of important decisions. </w:t>
      </w:r>
    </w:p>
    <w:p>
      <w:pPr>
        <w:pStyle w:val="TextBody"/>
        <w:bidi w:val="0"/>
        <w:spacing w:before="120" w:after="0"/>
        <w:jc w:val="left"/>
        <w:rPr>
          <w:rFonts w:ascii="Times New Roman" w:hAnsi="Times New Roman"/>
          <w:sz w:val="20"/>
        </w:rPr>
      </w:pPr>
      <w:r>
        <w:rPr>
          <w:rFonts w:ascii="Times New Roman" w:hAnsi="Times New Roman"/>
          <w:sz w:val="20"/>
        </w:rPr>
        <w:t xml:space="preserve">Our Class B common stock has 30 votes per share and our Class A common stock, has one vote per share. Our Chief Executive Officer, Founder, and Chairman, Eric Lefkofsky, who, collectively with his controlled entities, holds all our outstanding shares of Class B common stock, beneficially owned shares representing approximately 64.3% of the voting power of our outstanding capital stock following the completion of the IPO. As a result, Mr. Lefkofsky has the ability to control the outcome of matters requiring stockholder approval, including the election of directors and approval of significant corporate transactions, such as a merger, other sale of our company or our assets or significant acquisitions, even if his stock ownership represents less than 50% of the outstanding aggregate number of shares of our capital stock. This concentration of voting control limits the ability of other stockholders to influence corporate matters and may cause us to make strategic decisions that could involve risks to you or that may not be aligned with your interests. In addition, Mr. Lefkofsky serves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elected to take advantage of the “controlled company” exemption to the corporate governance rules for publicly listed companies but may do so in the future. </w:t>
      </w:r>
    </w:p>
    <w:p>
      <w:pPr>
        <w:pStyle w:val="TextBody"/>
        <w:bidi w:val="0"/>
        <w:spacing w:before="120" w:after="0"/>
        <w:jc w:val="left"/>
        <w:rPr>
          <w:rFonts w:ascii="Times New Roman" w:hAnsi="Times New Roman"/>
          <w:sz w:val="20"/>
        </w:rPr>
      </w:pPr>
      <w:r>
        <w:rPr>
          <w:rFonts w:ascii="Times New Roman" w:hAnsi="Times New Roman"/>
          <w:sz w:val="20"/>
        </w:rPr>
        <w:t xml:space="preserve">Because our Chief Executive Officer, Founder, and Chairman, Eric Lefkofsky, who, collectively with his controlled entities, holds all our outstanding shares of Class B common stock, beneficially owns shares representing in excess of 50% of the voting power of our outstanding capital stock,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Item 2. Unregistered Sales of Equity Securities and 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(a) 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From April 1, 2024 to June 13, 2024, we granted an aggregate of 1,539,794 RSUs to our employees </w:t>
      </w:r>
    </w:p>
    <w:p>
      <w:pPr>
        <w:pStyle w:val="TextBody"/>
        <w:bidi w:val="0"/>
        <w:spacing w:before="120" w:after="0"/>
        <w:jc w:val="left"/>
        <w:rPr>
          <w:rFonts w:ascii="Times New Roman" w:hAnsi="Times New Roman"/>
          <w:sz w:val="20"/>
        </w:rPr>
      </w:pPr>
      <w:r>
        <w:rPr>
          <w:rFonts w:ascii="Times New Roman" w:hAnsi="Times New Roman"/>
          <w:sz w:val="20"/>
        </w:rPr>
        <w:t>to</w:t>
      </w:r>
    </w:p>
    <w:p>
      <w:pPr>
        <w:pStyle w:val="TextBody"/>
        <w:bidi w:val="0"/>
        <w:spacing w:before="120" w:after="0"/>
        <w:jc w:val="left"/>
        <w:rPr>
          <w:rFonts w:ascii="Times New Roman" w:hAnsi="Times New Roman"/>
          <w:sz w:val="20"/>
        </w:rPr>
      </w:pPr>
      <w:r>
        <w:rPr>
          <w:rFonts w:ascii="Times New Roman" w:hAnsi="Times New Roman"/>
          <w:sz w:val="20"/>
        </w:rPr>
        <w:t>be</w:t>
      </w:r>
    </w:p>
    <w:p>
      <w:pPr>
        <w:pStyle w:val="TextBody"/>
        <w:bidi w:val="0"/>
        <w:spacing w:before="120" w:after="0"/>
        <w:jc w:val="left"/>
        <w:rPr>
          <w:rFonts w:ascii="Times New Roman" w:hAnsi="Times New Roman"/>
          <w:sz w:val="20"/>
        </w:rPr>
      </w:pPr>
      <w:r>
        <w:rPr>
          <w:rFonts w:ascii="Times New Roman" w:hAnsi="Times New Roman"/>
          <w:sz w:val="20"/>
        </w:rPr>
        <w:t xml:space="preserve">settled in shares of our Class A common stock under the 2015 Plan. None of the foregoing transactions involved any underwriters, underwriting discounts or commissions, or any public offering.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to information about us. The sales of these securities were made without any general solicitation or advertising.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(b) Use of Proceeds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17, 2024, we completed our IPO in which we issued and sold 11,100,000 shares of Class A common stock, at a public offering price of $37.00 per share. We received net proceeds of $382.0 million after deducting underwriting discounts and commissions of $28.7 million. In connection with the closing of the IPO, all shares of our then-outstanding convertible preferred stock automatically converted into an aggregate of 66,640,660 shares of Class A common stock. All shares sold were registered pursuant to a registration statement on Form S-1 (File No. 333-279558), as amended (the “Registration statement”), declared effective by the SEC on June 13, 2024. Morgan Stanley &amp; Co. LLC, J.P. Morgan Securities LLC and Allen acted as representatives of the underwriters for the IPO.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used a portion of the net proceeds from our IPO to satisfy tax withholding and remittance obligations related to RSU Net Settlement. There has been no material change in the expected use of the net proceeds from our IPO as described in the Final Prospectus dated as of June 13, 2024 and filed with the SEC pursuant to Rule 424(b)(4) on June 17,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3. Defaults Upon Senior Securities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4. Mine Safety Disclosures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5. Other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i/>
          <w:sz w:val="20"/>
        </w:rPr>
      </w:pPr>
      <w:r>
        <w:rPr>
          <w:rFonts w:ascii="Times New Roman" w:hAnsi="Times New Roman"/>
          <w:b/>
          <w:i/>
          <w:sz w:val="20"/>
        </w:rPr>
        <w:t xml:space="preserve">Disclosure of Trading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quarter ended June 30, 2024, none of our directors or officers (as defined in Rule 16a-1(f) under the Exchange Act) adopted or terminated a “Rule 10b5-1 trading arrangement” or a “non-Rule </w:t>
      </w:r>
    </w:p>
    <w:p>
      <w:pPr>
        <w:pStyle w:val="TextBody"/>
        <w:bidi w:val="0"/>
        <w:spacing w:before="120" w:after="0"/>
        <w:jc w:val="left"/>
        <w:rPr>
          <w:rFonts w:ascii="Times New Roman" w:hAnsi="Times New Roman"/>
          <w:sz w:val="20"/>
        </w:rPr>
      </w:pPr>
      <w:r>
        <w:rPr>
          <w:rFonts w:ascii="Times New Roman" w:hAnsi="Times New Roman"/>
          <w:sz w:val="20"/>
        </w:rPr>
        <w:t>10b5</w:t>
      </w:r>
    </w:p>
    <w:p>
      <w:pPr>
        <w:pStyle w:val="TextBody"/>
        <w:bidi w:val="0"/>
        <w:spacing w:before="120" w:after="0"/>
        <w:jc w:val="left"/>
        <w:rPr>
          <w:rFonts w:ascii="Times New Roman" w:hAnsi="Times New Roman"/>
          <w:sz w:val="20"/>
        </w:rPr>
      </w:pPr>
      <w:r>
        <w:rPr>
          <w:rFonts w:ascii="Times New Roman" w:hAnsi="Times New Roman"/>
          <w:sz w:val="20"/>
        </w:rPr>
        <w:t xml:space="preserve">-1 trading arrangement,” as each term is defined in Item 408 of Regulation S-K, except as set forth in the table below. Sales under each of the following plans will not commence until, at the earliest, the expiration of lock-up restrictions in connection with our IPO.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844"/>
        <w:gridCol w:w="120"/>
        <w:gridCol w:w="60"/>
        <w:gridCol w:w="920"/>
        <w:gridCol w:w="60"/>
        <w:gridCol w:w="120"/>
        <w:gridCol w:w="1355"/>
        <w:gridCol w:w="120"/>
        <w:gridCol w:w="1150"/>
        <w:gridCol w:w="120"/>
        <w:gridCol w:w="1160"/>
        <w:gridCol w:w="120"/>
        <w:gridCol w:w="1599"/>
        <w:gridCol w:w="60"/>
        <w:gridCol w:w="1397"/>
      </w:tblGrid>
      <w:tr>
        <w:trPr/>
        <w:tc>
          <w:tcPr>
            <w:tcW w:w="18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844"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8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30" w:type="dxa"/>
            <w:gridSpan w:val="3"/>
            <w:tcBorders/>
            <w:vAlign w:val="center"/>
          </w:tcPr>
          <w:p>
            <w:pPr>
              <w:pStyle w:val="TableContents"/>
              <w:bidi w:val="0"/>
              <w:spacing w:before="0" w:after="0"/>
              <w:jc w:val="center"/>
              <w:rPr>
                <w:b/>
                <w:spacing w:val="0"/>
              </w:rPr>
            </w:pPr>
            <w:r>
              <w:rPr>
                <w:b/>
                <w:spacing w:val="0"/>
              </w:rPr>
              <w:t>Type of Trading</w:t>
            </w:r>
          </w:p>
          <w:p>
            <w:pPr>
              <w:pStyle w:val="TableContents"/>
              <w:bidi w:val="0"/>
              <w:spacing w:before="0" w:after="0"/>
              <w:jc w:val="center"/>
              <w:rPr/>
            </w:pPr>
            <w:r>
              <w:rPr/>
            </w:r>
          </w:p>
          <w:p>
            <w:pPr>
              <w:pStyle w:val="TableContents"/>
              <w:bidi w:val="0"/>
              <w:spacing w:before="0" w:after="0"/>
              <w:jc w:val="center"/>
              <w:rPr>
                <w:b/>
                <w:spacing w:val="0"/>
              </w:rPr>
            </w:pPr>
            <w:r>
              <w:rPr>
                <w:b/>
                <w:spacing w:val="0"/>
              </w:rPr>
              <w:t>Arrangement</w:t>
            </w:r>
          </w:p>
        </w:tc>
        <w:tc>
          <w:tcPr>
            <w:tcW w:w="120" w:type="dxa"/>
            <w:tcBorders/>
            <w:vAlign w:val="center"/>
          </w:tcPr>
          <w:p>
            <w:pPr>
              <w:pStyle w:val="TableContents"/>
              <w:bidi w:val="0"/>
              <w:spacing w:before="0" w:after="0"/>
              <w:jc w:val="left"/>
              <w:rPr>
                <w:spacing w:val="0"/>
              </w:rPr>
            </w:pPr>
            <w:r>
              <w:rPr>
                <w:spacing w:val="0"/>
              </w:rPr>
              <w:t>  </w:t>
            </w:r>
          </w:p>
        </w:tc>
        <w:tc>
          <w:tcPr>
            <w:tcW w:w="1599"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97" w:type="dxa"/>
            <w:tcBorders/>
            <w:vAlign w:val="center"/>
          </w:tcPr>
          <w:p>
            <w:pPr>
              <w:pStyle w:val="TableContents"/>
              <w:bidi w:val="0"/>
              <w:spacing w:before="0" w:after="0"/>
              <w:jc w:val="left"/>
              <w:rPr>
                <w:spacing w:val="0"/>
              </w:rPr>
            </w:pPr>
            <w:r>
              <w:rPr>
                <w:spacing w:val="0"/>
              </w:rPr>
              <w:t> </w:t>
            </w:r>
          </w:p>
        </w:tc>
      </w:tr>
      <w:tr>
        <w:trPr/>
        <w:tc>
          <w:tcPr>
            <w:tcW w:w="1844"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 and Position</w:t>
            </w:r>
          </w:p>
        </w:tc>
        <w:tc>
          <w:tcPr>
            <w:tcW w:w="120" w:type="dxa"/>
            <w:tcBorders/>
            <w:vAlign w:val="center"/>
          </w:tcPr>
          <w:p>
            <w:pPr>
              <w:pStyle w:val="TableContents"/>
              <w:bidi w:val="0"/>
              <w:spacing w:before="0" w:after="0"/>
              <w:jc w:val="left"/>
              <w:rPr>
                <w:spacing w:val="0"/>
              </w:rPr>
            </w:pPr>
            <w:r>
              <w:rPr>
                <w:spacing w:val="0"/>
              </w:rPr>
              <w:t>  </w:t>
            </w:r>
          </w:p>
        </w:tc>
        <w:tc>
          <w:tcPr>
            <w:tcW w:w="980" w:type="dxa"/>
            <w:gridSpan w:val="2"/>
            <w:tcBorders/>
            <w:vAlign w:val="center"/>
          </w:tcPr>
          <w:p>
            <w:pPr>
              <w:pStyle w:val="TableContents"/>
              <w:bidi w:val="0"/>
              <w:spacing w:before="0" w:after="0"/>
              <w:jc w:val="center"/>
              <w:rPr>
                <w:b/>
                <w:spacing w:val="0"/>
              </w:rPr>
            </w:pPr>
            <w:r>
              <w:rPr>
                <w:b/>
                <w:spacing w:val="0"/>
              </w:rPr>
              <w:t>Action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55" w:type="dxa"/>
            <w:tcBorders/>
            <w:vAlign w:val="center"/>
          </w:tcPr>
          <w:p>
            <w:pPr>
              <w:pStyle w:val="TableContents"/>
              <w:bidi w:val="0"/>
              <w:spacing w:before="0" w:after="0"/>
              <w:jc w:val="center"/>
              <w:rPr>
                <w:b/>
                <w:spacing w:val="0"/>
              </w:rPr>
            </w:pPr>
            <w:r>
              <w:rPr>
                <w:b/>
                <w:spacing w:val="0"/>
              </w:rPr>
              <w:t>Date</w:t>
            </w:r>
          </w:p>
        </w:tc>
        <w:tc>
          <w:tcPr>
            <w:tcW w:w="120" w:type="dxa"/>
            <w:tcBorders/>
            <w:vAlign w:val="center"/>
          </w:tcPr>
          <w:p>
            <w:pPr>
              <w:pStyle w:val="TableContents"/>
              <w:bidi w:val="0"/>
              <w:spacing w:before="0" w:after="0"/>
              <w:jc w:val="left"/>
              <w:rPr>
                <w:spacing w:val="0"/>
              </w:rPr>
            </w:pPr>
            <w:r>
              <w:rPr>
                <w:spacing w:val="0"/>
              </w:rPr>
              <w:t>  </w:t>
            </w:r>
          </w:p>
        </w:tc>
        <w:tc>
          <w:tcPr>
            <w:tcW w:w="1150" w:type="dxa"/>
            <w:tcBorders/>
            <w:vAlign w:val="center"/>
          </w:tcPr>
          <w:p>
            <w:pPr>
              <w:pStyle w:val="TableContents"/>
              <w:bidi w:val="0"/>
              <w:spacing w:before="0" w:after="0"/>
              <w:jc w:val="center"/>
              <w:rPr>
                <w:b/>
                <w:spacing w:val="0"/>
              </w:rPr>
            </w:pPr>
            <w:r>
              <w:rPr>
                <w:b/>
                <w:spacing w:val="0"/>
              </w:rPr>
              <w:t>Rule 10b5-1*</w:t>
            </w:r>
          </w:p>
        </w:tc>
        <w:tc>
          <w:tcPr>
            <w:tcW w:w="120" w:type="dxa"/>
            <w:tcBorders/>
            <w:vAlign w:val="center"/>
          </w:tcPr>
          <w:p>
            <w:pPr>
              <w:pStyle w:val="TableContents"/>
              <w:bidi w:val="0"/>
              <w:spacing w:before="0" w:after="0"/>
              <w:jc w:val="left"/>
              <w:rPr>
                <w:spacing w:val="0"/>
              </w:rPr>
            </w:pPr>
            <w:r>
              <w:rPr>
                <w:spacing w:val="0"/>
              </w:rPr>
              <w:t>  </w:t>
            </w:r>
          </w:p>
        </w:tc>
        <w:tc>
          <w:tcPr>
            <w:tcW w:w="1160" w:type="dxa"/>
            <w:tcBorders/>
            <w:vAlign w:val="center"/>
          </w:tcPr>
          <w:p>
            <w:pPr>
              <w:pStyle w:val="TableContents"/>
              <w:bidi w:val="0"/>
              <w:spacing w:before="0" w:after="0"/>
              <w:jc w:val="center"/>
              <w:rPr>
                <w:b/>
                <w:spacing w:val="0"/>
              </w:rPr>
            </w:pPr>
            <w:r>
              <w:rPr>
                <w:b/>
                <w:spacing w:val="0"/>
              </w:rPr>
              <w:t>Non-</w:t>
            </w:r>
          </w:p>
          <w:p>
            <w:pPr>
              <w:pStyle w:val="TableContents"/>
              <w:bidi w:val="0"/>
              <w:spacing w:before="0" w:after="0"/>
              <w:jc w:val="center"/>
              <w:rPr/>
            </w:pPr>
            <w:r>
              <w:rPr/>
            </w:r>
          </w:p>
          <w:p>
            <w:pPr>
              <w:pStyle w:val="TableContents"/>
              <w:bidi w:val="0"/>
              <w:spacing w:before="0" w:after="0"/>
              <w:jc w:val="center"/>
              <w:rPr>
                <w:b/>
                <w:spacing w:val="0"/>
              </w:rPr>
            </w:pPr>
            <w:r>
              <w:rPr>
                <w:b/>
                <w:spacing w:val="0"/>
              </w:rPr>
              <w:t>Rule 10b5-1**</w:t>
            </w:r>
          </w:p>
        </w:tc>
        <w:tc>
          <w:tcPr>
            <w:tcW w:w="120" w:type="dxa"/>
            <w:tcBorders/>
            <w:vAlign w:val="center"/>
          </w:tcPr>
          <w:p>
            <w:pPr>
              <w:pStyle w:val="TableContents"/>
              <w:bidi w:val="0"/>
              <w:spacing w:before="0" w:after="0"/>
              <w:jc w:val="left"/>
              <w:rPr>
                <w:spacing w:val="0"/>
              </w:rPr>
            </w:pPr>
            <w:r>
              <w:rPr>
                <w:spacing w:val="0"/>
              </w:rPr>
              <w:t>  </w:t>
            </w:r>
          </w:p>
        </w:tc>
        <w:tc>
          <w:tcPr>
            <w:tcW w:w="1599" w:type="dxa"/>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Shares of Class A</w:t>
              <w:br/>
              <w:t>common stock to</w:t>
            </w:r>
          </w:p>
          <w:p>
            <w:pPr>
              <w:pStyle w:val="TableContents"/>
              <w:bidi w:val="0"/>
              <w:spacing w:before="0" w:after="0"/>
              <w:jc w:val="center"/>
              <w:rPr/>
            </w:pPr>
            <w:r>
              <w:rPr/>
            </w:r>
          </w:p>
          <w:p>
            <w:pPr>
              <w:pStyle w:val="TableContents"/>
              <w:bidi w:val="0"/>
              <w:spacing w:before="0" w:after="0"/>
              <w:jc w:val="center"/>
              <w:rPr>
                <w:b/>
                <w:spacing w:val="0"/>
              </w:rPr>
            </w:pPr>
            <w:r>
              <w:rPr>
                <w:b/>
                <w:spacing w:val="0"/>
              </w:rPr>
              <w:t>be Sold</w:t>
            </w:r>
          </w:p>
        </w:tc>
        <w:tc>
          <w:tcPr>
            <w:tcW w:w="60" w:type="dxa"/>
            <w:tcBorders/>
            <w:vAlign w:val="center"/>
          </w:tcPr>
          <w:p>
            <w:pPr>
              <w:pStyle w:val="TableContents"/>
              <w:bidi w:val="0"/>
              <w:spacing w:before="0" w:after="0"/>
              <w:jc w:val="left"/>
              <w:rPr>
                <w:spacing w:val="0"/>
              </w:rPr>
            </w:pPr>
            <w:r>
              <w:rPr>
                <w:spacing w:val="0"/>
              </w:rPr>
              <w:t> </w:t>
            </w:r>
          </w:p>
        </w:tc>
        <w:tc>
          <w:tcPr>
            <w:tcW w:w="1397" w:type="dxa"/>
            <w:tcBorders/>
            <w:vAlign w:val="center"/>
          </w:tcPr>
          <w:p>
            <w:pPr>
              <w:pStyle w:val="TableContents"/>
              <w:bidi w:val="0"/>
              <w:spacing w:before="0" w:after="0"/>
              <w:jc w:val="center"/>
              <w:rPr>
                <w:b/>
                <w:spacing w:val="0"/>
              </w:rPr>
            </w:pPr>
            <w:r>
              <w:rPr>
                <w:b/>
                <w:spacing w:val="0"/>
              </w:rPr>
              <w:t>Expiration Date</w:t>
            </w:r>
          </w:p>
        </w:tc>
      </w:tr>
      <w:tr>
        <w:trPr/>
        <w:tc>
          <w:tcPr>
            <w:tcW w:w="184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Eric Lefkofsky, Chief Executive Officer, Founder and Director</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20" w:type="dxa"/>
            <w:tcBorders/>
            <w:shd w:fill="CCEEFF" w:val="clear"/>
            <w:vAlign w:val="center"/>
          </w:tcPr>
          <w:p>
            <w:pPr>
              <w:pStyle w:val="TableContents"/>
              <w:bidi w:val="0"/>
              <w:spacing w:before="0" w:after="0"/>
              <w:jc w:val="right"/>
              <w:rPr>
                <w:spacing w:val="0"/>
              </w:rPr>
            </w:pPr>
            <w:r>
              <w:rPr>
                <w:spacing w:val="0"/>
              </w:rPr>
              <w:t>Adoption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355" w:type="dxa"/>
            <w:tcBorders/>
            <w:shd w:fill="CCEEFF" w:val="clear"/>
            <w:vAlign w:val="center"/>
          </w:tcPr>
          <w:p>
            <w:pPr>
              <w:pStyle w:val="TableContents"/>
              <w:bidi w:val="0"/>
              <w:spacing w:before="0" w:after="0"/>
              <w:jc w:val="center"/>
              <w:rPr>
                <w:spacing w:val="0"/>
              </w:rPr>
            </w:pPr>
            <w:r>
              <w:rPr>
                <w:spacing w:val="0"/>
              </w:rPr>
              <w:t>June 14, 2024</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50" w:type="dxa"/>
            <w:tcBorders/>
            <w:shd w:fill="CCEEFF" w:val="clear"/>
            <w:vAlign w:val="center"/>
          </w:tcPr>
          <w:p>
            <w:pPr>
              <w:pStyle w:val="TableContents"/>
              <w:bidi w:val="0"/>
              <w:spacing w:before="0" w:after="0"/>
              <w:jc w:val="center"/>
              <w:rPr>
                <w:spacing w:val="0"/>
              </w:rPr>
            </w:pPr>
            <w:r>
              <w:rPr>
                <w:spacing w:val="0"/>
              </w:rPr>
              <w:t>X</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99" w:type="dxa"/>
            <w:tcBorders/>
            <w:shd w:fill="CCEEFF" w:val="clear"/>
            <w:vAlign w:val="center"/>
          </w:tcPr>
          <w:p>
            <w:pPr>
              <w:pStyle w:val="TableContents"/>
              <w:bidi w:val="0"/>
              <w:spacing w:before="0" w:after="0"/>
              <w:jc w:val="center"/>
              <w:rPr>
                <w:spacing w:val="0"/>
              </w:rPr>
            </w:pPr>
            <w:r>
              <w:rPr>
                <w:spacing w:val="0"/>
              </w:rPr>
              <w:t>Up to 2,000,000</w:t>
            </w:r>
          </w:p>
          <w:p>
            <w:pPr>
              <w:pStyle w:val="TableContents"/>
              <w:bidi w:val="0"/>
              <w:spacing w:before="0" w:after="0"/>
              <w:jc w:val="center"/>
              <w:rPr>
                <w:spacing w:val="0"/>
                <w:sz w:val="12"/>
              </w:rPr>
            </w:pPr>
            <w:r>
              <w:rPr>
                <w:spacing w:val="0"/>
                <w:sz w:val="12"/>
              </w:rPr>
              <w:t>(1)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397" w:type="dxa"/>
            <w:tcBorders/>
            <w:shd w:fill="CCEEFF" w:val="clear"/>
            <w:vAlign w:val="center"/>
          </w:tcPr>
          <w:p>
            <w:pPr>
              <w:pStyle w:val="TableContents"/>
              <w:bidi w:val="0"/>
              <w:spacing w:before="0" w:after="0"/>
              <w:jc w:val="center"/>
              <w:rPr>
                <w:spacing w:val="0"/>
              </w:rPr>
            </w:pPr>
            <w:r>
              <w:rPr>
                <w:spacing w:val="0"/>
              </w:rPr>
              <w:t>June 18, 2025</w:t>
            </w:r>
          </w:p>
        </w:tc>
      </w:tr>
      <w:tr>
        <w:trPr/>
        <w:tc>
          <w:tcPr>
            <w:tcW w:w="184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Ryan Fukushima, Chief Operating Officer</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20" w:type="dxa"/>
            <w:tcBorders/>
            <w:vAlign w:val="center"/>
          </w:tcPr>
          <w:p>
            <w:pPr>
              <w:pStyle w:val="TableContents"/>
              <w:bidi w:val="0"/>
              <w:spacing w:before="0" w:after="0"/>
              <w:jc w:val="right"/>
              <w:rPr>
                <w:spacing w:val="0"/>
              </w:rPr>
            </w:pPr>
            <w:r>
              <w:rPr>
                <w:spacing w:val="0"/>
              </w:rPr>
              <w:t>Adoption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55" w:type="dxa"/>
            <w:tcBorders/>
            <w:vAlign w:val="center"/>
          </w:tcPr>
          <w:p>
            <w:pPr>
              <w:pStyle w:val="TableContents"/>
              <w:bidi w:val="0"/>
              <w:spacing w:before="0" w:after="0"/>
              <w:jc w:val="center"/>
              <w:rPr>
                <w:spacing w:val="0"/>
              </w:rPr>
            </w:pPr>
            <w:r>
              <w:rPr>
                <w:spacing w:val="0"/>
              </w:rPr>
              <w:t>June 14, 2024</w:t>
            </w:r>
          </w:p>
        </w:tc>
        <w:tc>
          <w:tcPr>
            <w:tcW w:w="120" w:type="dxa"/>
            <w:tcBorders/>
            <w:vAlign w:val="center"/>
          </w:tcPr>
          <w:p>
            <w:pPr>
              <w:pStyle w:val="TableContents"/>
              <w:bidi w:val="0"/>
              <w:spacing w:before="0" w:after="0"/>
              <w:jc w:val="left"/>
              <w:rPr>
                <w:spacing w:val="0"/>
              </w:rPr>
            </w:pPr>
            <w:r>
              <w:rPr>
                <w:spacing w:val="0"/>
              </w:rPr>
              <w:t>  </w:t>
            </w:r>
          </w:p>
        </w:tc>
        <w:tc>
          <w:tcPr>
            <w:tcW w:w="1150" w:type="dxa"/>
            <w:tcBorders/>
            <w:vAlign w:val="center"/>
          </w:tcPr>
          <w:p>
            <w:pPr>
              <w:pStyle w:val="TableContents"/>
              <w:bidi w:val="0"/>
              <w:spacing w:before="0" w:after="0"/>
              <w:jc w:val="center"/>
              <w:rPr>
                <w:spacing w:val="0"/>
              </w:rPr>
            </w:pPr>
            <w:r>
              <w:rPr>
                <w:spacing w:val="0"/>
              </w:rPr>
              <w:t>X</w:t>
            </w:r>
          </w:p>
        </w:tc>
        <w:tc>
          <w:tcPr>
            <w:tcW w:w="120" w:type="dxa"/>
            <w:tcBorders/>
            <w:vAlign w:val="center"/>
          </w:tcPr>
          <w:p>
            <w:pPr>
              <w:pStyle w:val="TableContents"/>
              <w:bidi w:val="0"/>
              <w:spacing w:before="0" w:after="0"/>
              <w:jc w:val="left"/>
              <w:rPr>
                <w:spacing w:val="0"/>
              </w:rPr>
            </w:pPr>
            <w:r>
              <w:rPr>
                <w:spacing w:val="0"/>
              </w:rPr>
              <w:t>  </w:t>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599" w:type="dxa"/>
            <w:tcBorders/>
            <w:vAlign w:val="center"/>
          </w:tcPr>
          <w:p>
            <w:pPr>
              <w:pStyle w:val="TableContents"/>
              <w:bidi w:val="0"/>
              <w:spacing w:before="0" w:after="0"/>
              <w:jc w:val="center"/>
              <w:rPr>
                <w:spacing w:val="0"/>
              </w:rPr>
            </w:pPr>
            <w:r>
              <w:rPr>
                <w:spacing w:val="0"/>
              </w:rPr>
              <w:t>Up to 240,000</w:t>
            </w:r>
          </w:p>
        </w:tc>
        <w:tc>
          <w:tcPr>
            <w:tcW w:w="60" w:type="dxa"/>
            <w:tcBorders/>
            <w:vAlign w:val="center"/>
          </w:tcPr>
          <w:p>
            <w:pPr>
              <w:pStyle w:val="TableContents"/>
              <w:bidi w:val="0"/>
              <w:spacing w:before="0" w:after="0"/>
              <w:jc w:val="left"/>
              <w:rPr>
                <w:spacing w:val="0"/>
              </w:rPr>
            </w:pPr>
            <w:r>
              <w:rPr>
                <w:spacing w:val="0"/>
              </w:rPr>
              <w:t> </w:t>
            </w:r>
          </w:p>
        </w:tc>
        <w:tc>
          <w:tcPr>
            <w:tcW w:w="1397" w:type="dxa"/>
            <w:tcBorders/>
            <w:vAlign w:val="center"/>
          </w:tcPr>
          <w:p>
            <w:pPr>
              <w:pStyle w:val="TableContents"/>
              <w:bidi w:val="0"/>
              <w:spacing w:before="0" w:after="0"/>
              <w:jc w:val="center"/>
              <w:rPr>
                <w:spacing w:val="0"/>
              </w:rPr>
            </w:pPr>
            <w:r>
              <w:rPr>
                <w:spacing w:val="0"/>
              </w:rPr>
              <w:t>June 30, 2025</w:t>
            </w:r>
          </w:p>
        </w:tc>
      </w:tr>
      <w:tr>
        <w:trPr/>
        <w:tc>
          <w:tcPr>
            <w:tcW w:w="184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Erik Phelps, Executive Vice President, Chief Administrative and Legal Officer and Assistant Secretary</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20" w:type="dxa"/>
            <w:tcBorders/>
            <w:shd w:fill="CCEEFF" w:val="clear"/>
            <w:vAlign w:val="center"/>
          </w:tcPr>
          <w:p>
            <w:pPr>
              <w:pStyle w:val="TableContents"/>
              <w:bidi w:val="0"/>
              <w:spacing w:before="0" w:after="0"/>
              <w:jc w:val="right"/>
              <w:rPr>
                <w:spacing w:val="0"/>
              </w:rPr>
            </w:pPr>
            <w:r>
              <w:rPr>
                <w:spacing w:val="0"/>
              </w:rPr>
              <w:t>Adoption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355" w:type="dxa"/>
            <w:tcBorders/>
            <w:shd w:fill="CCEEFF" w:val="clear"/>
            <w:vAlign w:val="center"/>
          </w:tcPr>
          <w:p>
            <w:pPr>
              <w:pStyle w:val="TableContents"/>
              <w:bidi w:val="0"/>
              <w:spacing w:before="0" w:after="0"/>
              <w:jc w:val="center"/>
              <w:rPr>
                <w:spacing w:val="0"/>
              </w:rPr>
            </w:pPr>
            <w:r>
              <w:rPr>
                <w:spacing w:val="0"/>
              </w:rPr>
              <w:t>June 14, 2024</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50" w:type="dxa"/>
            <w:tcBorders/>
            <w:shd w:fill="CCEEFF" w:val="clear"/>
            <w:vAlign w:val="center"/>
          </w:tcPr>
          <w:p>
            <w:pPr>
              <w:pStyle w:val="TableContents"/>
              <w:bidi w:val="0"/>
              <w:spacing w:before="0" w:after="0"/>
              <w:jc w:val="center"/>
              <w:rPr>
                <w:spacing w:val="0"/>
              </w:rPr>
            </w:pPr>
            <w:r>
              <w:rPr>
                <w:spacing w:val="0"/>
              </w:rPr>
              <w:t>X</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99" w:type="dxa"/>
            <w:tcBorders/>
            <w:shd w:fill="CCEEFF" w:val="clear"/>
            <w:vAlign w:val="center"/>
          </w:tcPr>
          <w:p>
            <w:pPr>
              <w:pStyle w:val="TableContents"/>
              <w:bidi w:val="0"/>
              <w:spacing w:before="0" w:after="0"/>
              <w:jc w:val="center"/>
              <w:rPr>
                <w:spacing w:val="0"/>
              </w:rPr>
            </w:pPr>
            <w:r>
              <w:rPr>
                <w:spacing w:val="0"/>
              </w:rPr>
              <w:t>To Be </w:t>
            </w:r>
          </w:p>
          <w:p>
            <w:pPr>
              <w:pStyle w:val="TableContents"/>
              <w:bidi w:val="0"/>
              <w:spacing w:before="0" w:after="0"/>
              <w:jc w:val="center"/>
              <w:rPr>
                <w:spacing w:val="0"/>
              </w:rPr>
            </w:pPr>
            <w:r>
              <w:rPr>
                <w:spacing w:val="0"/>
              </w:rPr>
              <w:t>Determined</w:t>
            </w:r>
          </w:p>
          <w:p>
            <w:pPr>
              <w:pStyle w:val="TableContents"/>
              <w:bidi w:val="0"/>
              <w:spacing w:before="0" w:after="0"/>
              <w:jc w:val="center"/>
              <w:rPr>
                <w:spacing w:val="0"/>
                <w:sz w:val="12"/>
              </w:rPr>
            </w:pPr>
            <w:r>
              <w:rPr>
                <w:spacing w:val="0"/>
                <w:sz w:val="12"/>
              </w:rPr>
              <w:t>(2)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397" w:type="dxa"/>
            <w:tcBorders/>
            <w:shd w:fill="CCEEFF" w:val="clear"/>
            <w:vAlign w:val="center"/>
          </w:tcPr>
          <w:p>
            <w:pPr>
              <w:pStyle w:val="TableContents"/>
              <w:bidi w:val="0"/>
              <w:spacing w:before="0" w:after="0"/>
              <w:jc w:val="center"/>
              <w:rPr>
                <w:spacing w:val="0"/>
              </w:rPr>
            </w:pPr>
            <w:r>
              <w:rPr>
                <w:spacing w:val="0"/>
              </w:rPr>
              <w:t>June 30, 2025</w:t>
            </w:r>
          </w:p>
        </w:tc>
      </w:tr>
      <w:tr>
        <w:trPr/>
        <w:tc>
          <w:tcPr>
            <w:tcW w:w="184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Andrew Polovin, Executive Vice President, General Counsel and Secretary</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20" w:type="dxa"/>
            <w:tcBorders/>
            <w:vAlign w:val="center"/>
          </w:tcPr>
          <w:p>
            <w:pPr>
              <w:pStyle w:val="TableContents"/>
              <w:bidi w:val="0"/>
              <w:spacing w:before="0" w:after="0"/>
              <w:jc w:val="right"/>
              <w:rPr>
                <w:spacing w:val="0"/>
              </w:rPr>
            </w:pPr>
            <w:r>
              <w:rPr>
                <w:spacing w:val="0"/>
              </w:rPr>
              <w:t>Adoption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55" w:type="dxa"/>
            <w:tcBorders/>
            <w:vAlign w:val="center"/>
          </w:tcPr>
          <w:p>
            <w:pPr>
              <w:pStyle w:val="TableContents"/>
              <w:bidi w:val="0"/>
              <w:spacing w:before="0" w:after="0"/>
              <w:jc w:val="center"/>
              <w:rPr>
                <w:spacing w:val="0"/>
              </w:rPr>
            </w:pPr>
            <w:r>
              <w:rPr>
                <w:spacing w:val="0"/>
              </w:rPr>
              <w:t>June 14, 2024</w:t>
            </w:r>
          </w:p>
        </w:tc>
        <w:tc>
          <w:tcPr>
            <w:tcW w:w="120" w:type="dxa"/>
            <w:tcBorders/>
            <w:vAlign w:val="center"/>
          </w:tcPr>
          <w:p>
            <w:pPr>
              <w:pStyle w:val="TableContents"/>
              <w:bidi w:val="0"/>
              <w:spacing w:before="0" w:after="0"/>
              <w:jc w:val="left"/>
              <w:rPr>
                <w:spacing w:val="0"/>
              </w:rPr>
            </w:pPr>
            <w:r>
              <w:rPr>
                <w:spacing w:val="0"/>
              </w:rPr>
              <w:t>  </w:t>
            </w:r>
          </w:p>
        </w:tc>
        <w:tc>
          <w:tcPr>
            <w:tcW w:w="1150" w:type="dxa"/>
            <w:tcBorders/>
            <w:vAlign w:val="center"/>
          </w:tcPr>
          <w:p>
            <w:pPr>
              <w:pStyle w:val="TableContents"/>
              <w:bidi w:val="0"/>
              <w:spacing w:before="0" w:after="0"/>
              <w:jc w:val="center"/>
              <w:rPr>
                <w:spacing w:val="0"/>
              </w:rPr>
            </w:pPr>
            <w:r>
              <w:rPr>
                <w:spacing w:val="0"/>
              </w:rPr>
              <w:t>X</w:t>
            </w:r>
          </w:p>
        </w:tc>
        <w:tc>
          <w:tcPr>
            <w:tcW w:w="120" w:type="dxa"/>
            <w:tcBorders/>
            <w:vAlign w:val="center"/>
          </w:tcPr>
          <w:p>
            <w:pPr>
              <w:pStyle w:val="TableContents"/>
              <w:bidi w:val="0"/>
              <w:spacing w:before="0" w:after="0"/>
              <w:jc w:val="left"/>
              <w:rPr>
                <w:spacing w:val="0"/>
              </w:rPr>
            </w:pPr>
            <w:r>
              <w:rPr>
                <w:spacing w:val="0"/>
              </w:rPr>
              <w:t>  </w:t>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599" w:type="dxa"/>
            <w:tcBorders/>
            <w:vAlign w:val="center"/>
          </w:tcPr>
          <w:p>
            <w:pPr>
              <w:pStyle w:val="TableContents"/>
              <w:bidi w:val="0"/>
              <w:spacing w:before="0" w:after="0"/>
              <w:jc w:val="center"/>
              <w:rPr>
                <w:spacing w:val="0"/>
              </w:rPr>
            </w:pPr>
            <w:r>
              <w:rPr>
                <w:spacing w:val="0"/>
              </w:rPr>
              <w:t>To Be </w:t>
            </w:r>
          </w:p>
          <w:p>
            <w:pPr>
              <w:pStyle w:val="TableContents"/>
              <w:bidi w:val="0"/>
              <w:spacing w:before="0" w:after="0"/>
              <w:jc w:val="center"/>
              <w:rPr>
                <w:spacing w:val="0"/>
              </w:rPr>
            </w:pPr>
            <w:r>
              <w:rPr>
                <w:spacing w:val="0"/>
              </w:rPr>
              <w:t>Determined</w:t>
            </w:r>
          </w:p>
          <w:p>
            <w:pPr>
              <w:pStyle w:val="TableContents"/>
              <w:bidi w:val="0"/>
              <w:spacing w:before="0" w:after="0"/>
              <w:jc w:val="center"/>
              <w:rPr>
                <w:spacing w:val="0"/>
                <w:sz w:val="12"/>
              </w:rPr>
            </w:pPr>
            <w:r>
              <w:rPr>
                <w:spacing w:val="0"/>
                <w:sz w:val="12"/>
              </w:rPr>
              <w:t>(3)</w:t>
            </w:r>
          </w:p>
        </w:tc>
        <w:tc>
          <w:tcPr>
            <w:tcW w:w="60" w:type="dxa"/>
            <w:tcBorders/>
            <w:vAlign w:val="center"/>
          </w:tcPr>
          <w:p>
            <w:pPr>
              <w:pStyle w:val="TableContents"/>
              <w:bidi w:val="0"/>
              <w:spacing w:before="0" w:after="0"/>
              <w:jc w:val="left"/>
              <w:rPr>
                <w:spacing w:val="0"/>
              </w:rPr>
            </w:pPr>
            <w:r>
              <w:rPr>
                <w:spacing w:val="0"/>
              </w:rPr>
              <w:t> </w:t>
            </w:r>
          </w:p>
        </w:tc>
        <w:tc>
          <w:tcPr>
            <w:tcW w:w="1397" w:type="dxa"/>
            <w:tcBorders/>
            <w:vAlign w:val="center"/>
          </w:tcPr>
          <w:p>
            <w:pPr>
              <w:pStyle w:val="TableContents"/>
              <w:bidi w:val="0"/>
              <w:spacing w:before="0" w:after="0"/>
              <w:jc w:val="center"/>
              <w:rPr>
                <w:spacing w:val="0"/>
              </w:rPr>
            </w:pPr>
            <w:r>
              <w:rPr>
                <w:spacing w:val="0"/>
              </w:rPr>
              <w:t>June 30, 2025</w:t>
            </w:r>
          </w:p>
        </w:tc>
      </w:tr>
      <w:tr>
        <w:trPr/>
        <w:tc>
          <w:tcPr>
            <w:tcW w:w="184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James Rogers, Chief Financial Officer</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20" w:type="dxa"/>
            <w:tcBorders/>
            <w:shd w:fill="CCEEFF" w:val="clear"/>
            <w:vAlign w:val="center"/>
          </w:tcPr>
          <w:p>
            <w:pPr>
              <w:pStyle w:val="TableContents"/>
              <w:bidi w:val="0"/>
              <w:spacing w:before="0" w:after="0"/>
              <w:jc w:val="right"/>
              <w:rPr>
                <w:spacing w:val="0"/>
              </w:rPr>
            </w:pPr>
            <w:r>
              <w:rPr>
                <w:spacing w:val="0"/>
              </w:rPr>
              <w:t>Adoption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355" w:type="dxa"/>
            <w:tcBorders/>
            <w:shd w:fill="CCEEFF" w:val="clear"/>
            <w:vAlign w:val="center"/>
          </w:tcPr>
          <w:p>
            <w:pPr>
              <w:pStyle w:val="TableContents"/>
              <w:bidi w:val="0"/>
              <w:spacing w:before="0" w:after="0"/>
              <w:jc w:val="center"/>
              <w:rPr>
                <w:spacing w:val="0"/>
              </w:rPr>
            </w:pPr>
            <w:r>
              <w:rPr>
                <w:spacing w:val="0"/>
              </w:rPr>
              <w:t>June 14, 2024</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50" w:type="dxa"/>
            <w:tcBorders/>
            <w:shd w:fill="CCEEFF" w:val="clear"/>
            <w:vAlign w:val="center"/>
          </w:tcPr>
          <w:p>
            <w:pPr>
              <w:pStyle w:val="TableContents"/>
              <w:bidi w:val="0"/>
              <w:spacing w:before="0" w:after="0"/>
              <w:jc w:val="center"/>
              <w:rPr>
                <w:spacing w:val="0"/>
              </w:rPr>
            </w:pPr>
            <w:r>
              <w:rPr>
                <w:spacing w:val="0"/>
              </w:rPr>
              <w:t>X</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99" w:type="dxa"/>
            <w:tcBorders/>
            <w:shd w:fill="CCEEFF" w:val="clear"/>
            <w:vAlign w:val="center"/>
          </w:tcPr>
          <w:p>
            <w:pPr>
              <w:pStyle w:val="TableContents"/>
              <w:bidi w:val="0"/>
              <w:spacing w:before="0" w:after="0"/>
              <w:jc w:val="center"/>
              <w:rPr>
                <w:spacing w:val="0"/>
              </w:rPr>
            </w:pPr>
            <w:r>
              <w:rPr>
                <w:spacing w:val="0"/>
              </w:rPr>
              <w:t>To Be </w:t>
            </w:r>
          </w:p>
          <w:p>
            <w:pPr>
              <w:pStyle w:val="TableContents"/>
              <w:bidi w:val="0"/>
              <w:spacing w:before="0" w:after="0"/>
              <w:jc w:val="center"/>
              <w:rPr>
                <w:spacing w:val="0"/>
              </w:rPr>
            </w:pPr>
            <w:r>
              <w:rPr>
                <w:spacing w:val="0"/>
              </w:rPr>
              <w:t>Determined</w:t>
            </w:r>
          </w:p>
          <w:p>
            <w:pPr>
              <w:pStyle w:val="TableContents"/>
              <w:bidi w:val="0"/>
              <w:spacing w:before="0" w:after="0"/>
              <w:jc w:val="center"/>
              <w:rPr>
                <w:spacing w:val="0"/>
                <w:sz w:val="12"/>
              </w:rPr>
            </w:pPr>
            <w:r>
              <w:rPr>
                <w:spacing w:val="0"/>
                <w:sz w:val="12"/>
              </w:rPr>
              <w:t>(3)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397" w:type="dxa"/>
            <w:tcBorders/>
            <w:shd w:fill="CCEEFF" w:val="clear"/>
            <w:vAlign w:val="center"/>
          </w:tcPr>
          <w:p>
            <w:pPr>
              <w:pStyle w:val="TableContents"/>
              <w:bidi w:val="0"/>
              <w:spacing w:before="0" w:after="0"/>
              <w:jc w:val="center"/>
              <w:rPr>
                <w:spacing w:val="0"/>
              </w:rPr>
            </w:pPr>
            <w:r>
              <w:rPr>
                <w:spacing w:val="0"/>
              </w:rPr>
              <w:t>June 15, 2025</w:t>
            </w:r>
          </w:p>
        </w:tc>
      </w:tr>
      <w:tr>
        <w:trPr/>
        <w:tc>
          <w:tcPr>
            <w:tcW w:w="184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Ryan Bartolucci, Chief Accounting Officer</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20" w:type="dxa"/>
            <w:tcBorders/>
            <w:vAlign w:val="center"/>
          </w:tcPr>
          <w:p>
            <w:pPr>
              <w:pStyle w:val="TableContents"/>
              <w:bidi w:val="0"/>
              <w:spacing w:before="0" w:after="0"/>
              <w:jc w:val="right"/>
              <w:rPr>
                <w:spacing w:val="0"/>
              </w:rPr>
            </w:pPr>
            <w:r>
              <w:rPr>
                <w:spacing w:val="0"/>
              </w:rPr>
              <w:t>Adoption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55" w:type="dxa"/>
            <w:tcBorders/>
            <w:vAlign w:val="center"/>
          </w:tcPr>
          <w:p>
            <w:pPr>
              <w:pStyle w:val="TableContents"/>
              <w:bidi w:val="0"/>
              <w:spacing w:before="0" w:after="0"/>
              <w:jc w:val="center"/>
              <w:rPr>
                <w:spacing w:val="0"/>
              </w:rPr>
            </w:pPr>
            <w:r>
              <w:rPr>
                <w:spacing w:val="0"/>
              </w:rPr>
              <w:t>June 14, 2024</w:t>
            </w:r>
          </w:p>
        </w:tc>
        <w:tc>
          <w:tcPr>
            <w:tcW w:w="120" w:type="dxa"/>
            <w:tcBorders/>
            <w:vAlign w:val="center"/>
          </w:tcPr>
          <w:p>
            <w:pPr>
              <w:pStyle w:val="TableContents"/>
              <w:bidi w:val="0"/>
              <w:spacing w:before="0" w:after="0"/>
              <w:jc w:val="left"/>
              <w:rPr>
                <w:spacing w:val="0"/>
              </w:rPr>
            </w:pPr>
            <w:r>
              <w:rPr>
                <w:spacing w:val="0"/>
              </w:rPr>
              <w:t>  </w:t>
            </w:r>
          </w:p>
        </w:tc>
        <w:tc>
          <w:tcPr>
            <w:tcW w:w="1150" w:type="dxa"/>
            <w:tcBorders/>
            <w:vAlign w:val="center"/>
          </w:tcPr>
          <w:p>
            <w:pPr>
              <w:pStyle w:val="TableContents"/>
              <w:bidi w:val="0"/>
              <w:spacing w:before="0" w:after="0"/>
              <w:jc w:val="center"/>
              <w:rPr>
                <w:spacing w:val="0"/>
              </w:rPr>
            </w:pPr>
            <w:r>
              <w:rPr>
                <w:spacing w:val="0"/>
              </w:rPr>
              <w:t>X</w:t>
            </w:r>
          </w:p>
        </w:tc>
        <w:tc>
          <w:tcPr>
            <w:tcW w:w="120" w:type="dxa"/>
            <w:tcBorders/>
            <w:vAlign w:val="center"/>
          </w:tcPr>
          <w:p>
            <w:pPr>
              <w:pStyle w:val="TableContents"/>
              <w:bidi w:val="0"/>
              <w:spacing w:before="0" w:after="0"/>
              <w:jc w:val="left"/>
              <w:rPr>
                <w:spacing w:val="0"/>
              </w:rPr>
            </w:pPr>
            <w:r>
              <w:rPr>
                <w:spacing w:val="0"/>
              </w:rPr>
              <w:t>  </w:t>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599" w:type="dxa"/>
            <w:tcBorders/>
            <w:vAlign w:val="center"/>
          </w:tcPr>
          <w:p>
            <w:pPr>
              <w:pStyle w:val="TableContents"/>
              <w:bidi w:val="0"/>
              <w:spacing w:before="0" w:after="0"/>
              <w:jc w:val="center"/>
              <w:rPr>
                <w:spacing w:val="0"/>
              </w:rPr>
            </w:pPr>
            <w:r>
              <w:rPr>
                <w:spacing w:val="0"/>
              </w:rPr>
              <w:t>To Be </w:t>
            </w:r>
          </w:p>
          <w:p>
            <w:pPr>
              <w:pStyle w:val="TableContents"/>
              <w:bidi w:val="0"/>
              <w:spacing w:before="0" w:after="0"/>
              <w:jc w:val="center"/>
              <w:rPr>
                <w:spacing w:val="0"/>
              </w:rPr>
            </w:pPr>
            <w:r>
              <w:rPr>
                <w:spacing w:val="0"/>
              </w:rPr>
              <w:t>Determined</w:t>
            </w:r>
          </w:p>
          <w:p>
            <w:pPr>
              <w:pStyle w:val="TableContents"/>
              <w:bidi w:val="0"/>
              <w:spacing w:before="0" w:after="0"/>
              <w:jc w:val="center"/>
              <w:rPr>
                <w:spacing w:val="0"/>
                <w:sz w:val="12"/>
              </w:rPr>
            </w:pPr>
            <w:r>
              <w:rPr>
                <w:spacing w:val="0"/>
                <w:sz w:val="12"/>
              </w:rPr>
              <w:t>(3)</w:t>
            </w:r>
          </w:p>
        </w:tc>
        <w:tc>
          <w:tcPr>
            <w:tcW w:w="60" w:type="dxa"/>
            <w:tcBorders/>
            <w:vAlign w:val="center"/>
          </w:tcPr>
          <w:p>
            <w:pPr>
              <w:pStyle w:val="TableContents"/>
              <w:bidi w:val="0"/>
              <w:spacing w:before="0" w:after="0"/>
              <w:jc w:val="left"/>
              <w:rPr>
                <w:spacing w:val="0"/>
              </w:rPr>
            </w:pPr>
            <w:r>
              <w:rPr>
                <w:spacing w:val="0"/>
              </w:rPr>
              <w:t> </w:t>
            </w:r>
          </w:p>
        </w:tc>
        <w:tc>
          <w:tcPr>
            <w:tcW w:w="1397" w:type="dxa"/>
            <w:tcBorders/>
            <w:vAlign w:val="center"/>
          </w:tcPr>
          <w:p>
            <w:pPr>
              <w:pStyle w:val="TableContents"/>
              <w:bidi w:val="0"/>
              <w:spacing w:before="0" w:after="0"/>
              <w:jc w:val="center"/>
              <w:rPr>
                <w:spacing w:val="0"/>
              </w:rPr>
            </w:pPr>
            <w:r>
              <w:rPr>
                <w:spacing w:val="0"/>
              </w:rPr>
              <w:t>June 30, 2025</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spacing w:val="0"/>
              </w:rPr>
            </w:pPr>
            <w:r>
              <w:rPr>
                <w:spacing w:val="0"/>
              </w:rPr>
              <w:t>*</w:t>
            </w:r>
          </w:p>
        </w:tc>
        <w:tc>
          <w:tcPr>
            <w:tcW w:w="10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Contract, instruction or written plan intended to satisfy the affirmative defense conditions of Rule 10b5-1(c) under the Exchange Act. </w:t>
            </w:r>
          </w:p>
        </w:tc>
      </w:tr>
    </w:tbl>
    <w:tbl>
      <w:tblPr>
        <w:tblW w:w="9265" w:type="dxa"/>
        <w:jc w:val="left"/>
        <w:tblInd w:w="0" w:type="dxa"/>
        <w:tblLayout w:type="fixed"/>
        <w:tblCellMar>
          <w:top w:w="0" w:type="dxa"/>
          <w:left w:w="0" w:type="dxa"/>
          <w:bottom w:w="0" w:type="dxa"/>
          <w:right w:w="0" w:type="dxa"/>
        </w:tblCellMar>
      </w:tblPr>
      <w:tblGrid>
        <w:gridCol w:w="275"/>
        <w:gridCol w:w="8990"/>
      </w:tblGrid>
      <w:tr>
        <w:trPr/>
        <w:tc>
          <w:tcPr>
            <w:tcW w:w="275" w:type="dxa"/>
            <w:tcBorders/>
            <w:vAlign w:val="center"/>
          </w:tcPr>
          <w:p>
            <w:pPr>
              <w:pStyle w:val="TableContents"/>
              <w:bidi w:val="0"/>
              <w:spacing w:before="0" w:after="0"/>
              <w:jc w:val="left"/>
              <w:rPr>
                <w:spacing w:val="0"/>
              </w:rPr>
            </w:pPr>
            <w:r>
              <w:rPr>
                <w:spacing w:val="0"/>
              </w:rPr>
              <w:t>**</w:t>
            </w:r>
          </w:p>
        </w:tc>
        <w:tc>
          <w:tcPr>
            <w:tcW w:w="8990" w:type="dxa"/>
            <w:tcBorders/>
            <w:vAlign w:val="center"/>
          </w:tcPr>
          <w:p>
            <w:pPr>
              <w:pStyle w:val="TableContents"/>
              <w:bidi w:val="0"/>
              <w:spacing w:before="0" w:after="0"/>
              <w:jc w:val="left"/>
              <w:rPr>
                <w:spacing w:val="0"/>
              </w:rPr>
            </w:pPr>
            <w:r>
              <w:rPr>
                <w:spacing w:val="0"/>
              </w:rPr>
              <w:t>“</w:t>
            </w:r>
            <w:r>
              <w:rPr>
                <w:rFonts w:ascii="Times New Roman" w:hAnsi="Times New Roman"/>
                <w:spacing w:val="0"/>
                <w:sz w:val="20"/>
              </w:rPr>
              <w:t xml:space="preserve">Non-Rule 10b5-1 trading arrangement” as defined in Item 408(c) of Regulation S-K under the Exchange Act.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spacing w:val="0"/>
              </w:rPr>
            </w:pPr>
            <w:r>
              <w:rPr>
                <w:spacing w:val="0"/>
              </w:rPr>
              <w:t>(1)</w:t>
            </w:r>
          </w:p>
        </w:tc>
        <w:tc>
          <w:tcPr>
            <w:tcW w:w="994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Represents the adoption of a Rule 10b5-1 trading plan by each of Blue Media, LLC and Gray Media, LLC, each an entity controlled by Mr. Lefkofsky, providing for the sale of up to 1,600,000 shares of Class A common stock held by Blue Media, LLC and up to 400,000 shares of Class A common stock held by Gray Media, LLC.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Rule 10b5-1 trading plan provides for sales of up to approximately 94.8% (calculated on a weighted-average basis) of the net number of shares received upon vesting of an aggregate of 158,418 RSUs,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therefore, is indeterminable at this time.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Rule 10b5-1 trading plan provides for sales of up to 100% of the net number of shares received upon vesting of an aggregate of 176,447 RSUs with respect to Mr. Polovin, 161,972 RSUs with respect to Mr. Rogers and 35,013 RSUs with respect to Mr. Bartolucci, after giving effect to the withholding or sale of a portion of such shares to satisfy tax withholding obligations. Accordingly, the aggregate maximum number of shares that may be sold pursuant to this trading arrangement is </w:t>
            </w:r>
          </w:p>
          <w:p>
            <w:pPr>
              <w:pStyle w:val="TableContents"/>
              <w:bidi w:val="0"/>
              <w:spacing w:before="0" w:after="0"/>
              <w:jc w:val="left"/>
              <w:rPr>
                <w:rFonts w:ascii="Times New Roman" w:hAnsi="Times New Roman"/>
                <w:sz w:val="20"/>
              </w:rPr>
            </w:pPr>
            <w:r>
              <w:rPr>
                <w:rFonts w:ascii="Times New Roman" w:hAnsi="Times New Roman"/>
                <w:sz w:val="20"/>
              </w:rPr>
              <w:t xml:space="preserve">dependent </w:t>
            </w:r>
          </w:p>
          <w:p>
            <w:pPr>
              <w:pStyle w:val="TableContents"/>
              <w:bidi w:val="0"/>
              <w:spacing w:before="0" w:after="0"/>
              <w:jc w:val="left"/>
              <w:rPr>
                <w:rFonts w:ascii="Times New Roman" w:hAnsi="Times New Roman"/>
                <w:sz w:val="20"/>
              </w:rPr>
            </w:pPr>
            <w:r>
              <w:rPr>
                <w:rFonts w:ascii="Times New Roman" w:hAnsi="Times New Roman"/>
                <w:sz w:val="20"/>
              </w:rPr>
              <w:t xml:space="preserve">on the amount of tax withholding required upon the vesting of RSUs, and, therefore, is indeterminable at this time. </w:t>
            </w:r>
          </w:p>
        </w:tc>
      </w:tr>
    </w:tbl>
    <w:p>
      <w:pPr>
        <w:pStyle w:val="TextBody"/>
        <w:bidi w:val="0"/>
        <w:spacing w:before="360" w:after="0"/>
        <w:ind w:left="0" w:right="0" w:hanging="0"/>
        <w:jc w:val="left"/>
        <w:rPr>
          <w:rFonts w:ascii="Times New Roman" w:hAnsi="Times New Roman"/>
          <w:b/>
          <w:i/>
          <w:sz w:val="20"/>
        </w:rPr>
      </w:pPr>
      <w:r>
        <w:rPr>
          <w:rFonts w:ascii="Times New Roman" w:hAnsi="Times New Roman"/>
          <w:b/>
          <w:i/>
          <w:sz w:val="20"/>
        </w:rPr>
        <w:t xml:space="preserve">Equity </w:t>
      </w:r>
    </w:p>
    <w:p>
      <w:pPr>
        <w:pStyle w:val="TextBody"/>
        <w:bidi w:val="0"/>
        <w:spacing w:before="360" w:after="0"/>
        <w:jc w:val="left"/>
        <w:rPr>
          <w:rFonts w:ascii="Times New Roman" w:hAnsi="Times New Roman"/>
          <w:b/>
          <w:i/>
          <w:sz w:val="20"/>
        </w:rPr>
      </w:pPr>
      <w:r>
        <w:rPr>
          <w:rFonts w:ascii="Times New Roman" w:hAnsi="Times New Roman"/>
          <w:b/>
          <w:i/>
          <w:sz w:val="20"/>
        </w:rPr>
        <w:t>Award</w:t>
      </w:r>
    </w:p>
    <w:p>
      <w:pPr>
        <w:pStyle w:val="TextBody"/>
        <w:bidi w:val="0"/>
        <w:spacing w:before="120" w:after="0"/>
        <w:jc w:val="left"/>
        <w:rPr>
          <w:rFonts w:ascii="Times New Roman" w:hAnsi="Times New Roman"/>
          <w:sz w:val="20"/>
        </w:rPr>
      </w:pPr>
      <w:r>
        <w:rPr>
          <w:rFonts w:ascii="Times New Roman" w:hAnsi="Times New Roman"/>
          <w:sz w:val="20"/>
        </w:rPr>
        <w:t xml:space="preserve">On August 1, 2024, our board of directors granted 100,000 RSUs pursuant to the 2024 Plan to Ryan Fukushima, our Chief Operating Officer, one fifth of which vest on the first anniversary of June 15, 2024, and 1/20 of which vest quarterly thereafter, provided that Mr. Fukushima remains in continuous service with us through each vesting date. The RSUs to Mr. Fukushima were granted pursuant to the Forms of Restricted Stock Unit Grant Notice and Award Agreement under the 2024 Plan, which are filed as Exhibit 10.4 to this Quarterly Report on Form 10-Q and are incorporated by reference herein.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138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9" w:name="fin700319_17"/>
      <w:bookmarkEnd w:id="9"/>
      <w:r>
        <w:rPr>
          <w:rFonts w:ascii="Times New Roman" w:hAnsi="Times New Roman"/>
          <w:b/>
          <w:sz w:val="20"/>
        </w:rPr>
        <w:t xml:space="preserve">Item 6.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22"/>
        <w:gridCol w:w="60"/>
        <w:gridCol w:w="4813"/>
        <w:gridCol w:w="120"/>
        <w:gridCol w:w="60"/>
        <w:gridCol w:w="541"/>
        <w:gridCol w:w="60"/>
        <w:gridCol w:w="120"/>
        <w:gridCol w:w="60"/>
        <w:gridCol w:w="826"/>
        <w:gridCol w:w="60"/>
        <w:gridCol w:w="120"/>
        <w:gridCol w:w="74"/>
        <w:gridCol w:w="696"/>
        <w:gridCol w:w="60"/>
        <w:gridCol w:w="120"/>
        <w:gridCol w:w="60"/>
        <w:gridCol w:w="1355"/>
        <w:gridCol w:w="78"/>
      </w:tblGrid>
      <w:tr>
        <w:trPr/>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1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Incorporated by Reference</w:t>
            </w:r>
          </w:p>
        </w:tc>
        <w:tc>
          <w:tcPr>
            <w:tcW w:w="78" w:type="dxa"/>
            <w:tcBorders/>
            <w:vAlign w:val="center"/>
          </w:tcPr>
          <w:p>
            <w:pPr>
              <w:pStyle w:val="TableContents"/>
              <w:bidi w:val="0"/>
              <w:spacing w:before="0" w:after="283"/>
              <w:jc w:val="left"/>
              <w:rPr/>
            </w:pPr>
            <w:r>
              <w:rPr/>
              <w:t> </w:t>
            </w:r>
          </w:p>
        </w:tc>
      </w:tr>
      <w:tr>
        <w:trPr/>
        <w:tc>
          <w:tcPr>
            <w:tcW w:w="922"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60" w:type="dxa"/>
            <w:tcBorders/>
            <w:vAlign w:val="center"/>
          </w:tcPr>
          <w:p>
            <w:pPr>
              <w:pStyle w:val="TableContents"/>
              <w:bidi w:val="0"/>
              <w:spacing w:before="0" w:after="283"/>
              <w:jc w:val="left"/>
              <w:rPr/>
            </w:pPr>
            <w:r>
              <w:rPr/>
              <w:t> </w:t>
            </w:r>
          </w:p>
        </w:tc>
        <w:tc>
          <w:tcPr>
            <w:tcW w:w="481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c>
          <w:tcPr>
            <w:tcW w:w="120" w:type="dxa"/>
            <w:tcBorders/>
            <w:vAlign w:val="center"/>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File No.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Filing Date</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3.1</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2">
              <w:r>
                <w:rPr>
                  <w:rStyle w:val="InternetLink"/>
                </w:rPr>
                <w:t xml:space="preserve">Amended and Restated Certificate of Incorporation of the Registrant.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001-42130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June 17,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3.2</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3">
              <w:r>
                <w:rPr>
                  <w:rStyle w:val="InternetLink"/>
                </w:rPr>
                <w:t xml:space="preserve">Amended and Restated Bylaws of the Registrant.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001-42130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June 17,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4">
              <w:r>
                <w:rPr>
                  <w:rStyle w:val="InternetLink"/>
                </w:rPr>
                <w:t xml:space="preserve">Twelfth Amended and Restated Investor Rights Agreement, dated April 30, 2024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5">
              <w:r>
                <w:rPr>
                  <w:rStyle w:val="InternetLink"/>
                </w:rPr>
                <w:t xml:space="preserve">The Registrant’s 2024 Equity Incentive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 xml:space="preserve">S-1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10.3#</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6">
              <w:r>
                <w:rPr>
                  <w:rStyle w:val="InternetLink"/>
                </w:rPr>
                <w:t xml:space="preserve">Forms of Grant Notice, Stock Option Agreement and Notice of Exercise under the Registrant’s 2024 Equity Incentive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 xml:space="preserve">S-1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7">
              <w:r>
                <w:rPr>
                  <w:rStyle w:val="InternetLink"/>
                </w:rPr>
                <w:t xml:space="preserve">Forms of Restricted Stock Unit Grant Notice and Award Agreement under the Registrant’s 2024 Equity Incentive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 xml:space="preserve">S-1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10.5#</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8">
              <w:r>
                <w:rPr>
                  <w:rStyle w:val="InternetLink"/>
                </w:rPr>
                <w:t xml:space="preserve">Form of Indemnification Agreement entered into by and between the Registrant and each director and executive officers.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10.6#</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9">
              <w:r>
                <w:rPr>
                  <w:rStyle w:val="InternetLink"/>
                </w:rPr>
                <w:t xml:space="preserve">The Registrant’s 2024 Employee Stock Purchase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 xml:space="preserve">S-1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10.7†</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10">
              <w:r>
                <w:rPr>
                  <w:rStyle w:val="InternetLink"/>
                </w:rPr>
                <w:t xml:space="preserve">Joint Venture Agreement, by and among Softbank Group Corporation, Softbank Group Japan Corporation, the Registrant and Pegasos Corp., dated May 18, 2024.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S-1/A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June 5,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10.8†</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11">
              <w:r>
                <w:rPr>
                  <w:rStyle w:val="InternetLink"/>
                </w:rPr>
                <w:t xml:space="preserve">Data License Agreement by and between the Registrant and Pegasos Corp., dated May 18, 2024.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S-1/A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June 5,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10.9†</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12">
              <w:r>
                <w:rPr>
                  <w:rStyle w:val="InternetLink"/>
                </w:rPr>
                <w:t xml:space="preserve">Intellectual Property License Agreement, by and between the Registrant and Pegasos Corp., dated May 18, 2024.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S-1/A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June 5,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10.10†</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r:id="rId13">
              <w:r>
                <w:rPr>
                  <w:rStyle w:val="InternetLink"/>
                </w:rPr>
                <w:t xml:space="preserve">Amendment No. 1 to Strategic Collaboration Agreement, by and between the Registrant and GlaxoSmithKline LLC, dated May 20, 2024.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center"/>
              <w:rPr/>
            </w:pPr>
            <w:r>
              <w:rPr/>
              <w:t>S-1/A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333-279558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June 5, 2024</w:t>
            </w:r>
          </w:p>
        </w:tc>
        <w:tc>
          <w:tcPr>
            <w:tcW w:w="78"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31.1*</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w:anchor="d700319dex311.htm">
              <w:r>
                <w:rPr>
                  <w:rStyle w:val="InternetLink"/>
                </w:rPr>
                <w:t xml:space="preserve">Certification of Principal Executive Officer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31.2*</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w:anchor="d700319dex312.htm">
              <w:r>
                <w:rPr>
                  <w:rStyle w:val="InternetLink"/>
                </w:rPr>
                <w:t xml:space="preserve">Certification of Principal Financial Officer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32.1*+</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hyperlink w:anchor="d700319dex321.htm">
              <w:r>
                <w:rPr>
                  <w:rStyle w:val="InternetLink"/>
                </w:rPr>
                <w:t xml:space="preserve">Certification of Principal Executive Officer and Principal Financial Officer pursuant to 18 U.S.C Section 1350, as adopted pursuant to Section 906 of the Sarbanes-Oxley Act of 2002.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101.INS*</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r>
              <w:rPr/>
              <w:t>Inline XBRL Instance Document – the instance document does not appear in the Interactive Data File as its XBRL tags are embedded within the Inline XBRL document.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101.SCH*</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r>
              <w:rPr/>
              <w:t>Inline XBRL Taxonomy Extension Schema with Embedded Linkbase Document.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4873" w:type="dxa"/>
            <w:gridSpan w:val="2"/>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3"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r>
              <w:rPr/>
              <w:t>Cover Page formatted as inline XBRL and contained in Exhibit 101.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tc>
      </w:tr>
    </w:tbl>
    <w:tbl>
      <w:tblPr>
        <w:tblW w:w="7090" w:type="dxa"/>
        <w:jc w:val="left"/>
        <w:tblInd w:w="0" w:type="dxa"/>
        <w:tblLayout w:type="fixed"/>
        <w:tblCellMar>
          <w:top w:w="0" w:type="dxa"/>
          <w:left w:w="0" w:type="dxa"/>
          <w:bottom w:w="0" w:type="dxa"/>
          <w:right w:w="0" w:type="dxa"/>
        </w:tblCellMar>
      </w:tblPr>
      <w:tblGrid>
        <w:gridCol w:w="155"/>
        <w:gridCol w:w="6935"/>
      </w:tblGrid>
      <w:tr>
        <w:trPr/>
        <w:tc>
          <w:tcPr>
            <w:tcW w:w="155"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any compensatory plan, contract or arrangement.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exhibit (indicated by asterisks) have been omitted because they are not material and are the type that the registrant treats as private or confidential.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fin700319_18"/>
      <w:bookmarkEnd w:id="1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253" w:type="dxa"/>
        <w:jc w:val="left"/>
        <w:tblInd w:w="0" w:type="dxa"/>
        <w:tblLayout w:type="fixed"/>
        <w:tblCellMar>
          <w:top w:w="0" w:type="dxa"/>
          <w:left w:w="0" w:type="dxa"/>
          <w:bottom w:w="0" w:type="dxa"/>
          <w:right w:w="0" w:type="dxa"/>
        </w:tblCellMar>
      </w:tblPr>
      <w:tblGrid>
        <w:gridCol w:w="2075"/>
        <w:gridCol w:w="60"/>
        <w:gridCol w:w="23"/>
        <w:gridCol w:w="60"/>
        <w:gridCol w:w="365"/>
        <w:gridCol w:w="60"/>
        <w:gridCol w:w="461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5" w:type="dxa"/>
            <w:gridSpan w:val="3"/>
            <w:tcBorders/>
            <w:vAlign w:val="center"/>
          </w:tcPr>
          <w:p>
            <w:pPr>
              <w:pStyle w:val="TableContents"/>
              <w:bidi w:val="0"/>
              <w:spacing w:before="0" w:after="283"/>
              <w:jc w:val="left"/>
              <w:rPr>
                <w:b/>
              </w:rPr>
            </w:pPr>
            <w:r>
              <w:rPr>
                <w:b/>
              </w:rPr>
              <w:t>TEMPUS AI,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Eric Lefkofsky</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Chief Executive Officer, Founder and Chairman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i/>
              </w:rPr>
            </w:pPr>
            <w:r>
              <w:rPr>
                <w:i/>
              </w:rPr>
              <w:t>(Principal Executive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James Rogers</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Chief Financial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i/>
              </w:rPr>
            </w:pPr>
            <w:r>
              <w:rPr>
                <w:i/>
              </w:rPr>
              <w:t>(Principal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p>
    <w:p>
      <w:pPr>
        <w:pStyle w:val="TextBody"/>
        <w:bidi w:val="0"/>
        <w:spacing w:before="0" w:after="0"/>
        <w:jc w:val="right"/>
        <w:rPr>
          <w:rFonts w:ascii="Times New Roman" w:hAnsi="Times New Roman"/>
          <w:b/>
          <w:sz w:val="20"/>
        </w:rPr>
      </w:pPr>
      <w:bookmarkStart w:id="11" w:name="d700319dex311.htm"/>
      <w:bookmarkStart w:id="12" w:name="ksd700319dex311"/>
      <w:bookmarkEnd w:id="11"/>
      <w:bookmarkEnd w:id="12"/>
      <w:r>
        <w:rPr>
          <w:rFonts w:ascii="Times New Roman" w:hAnsi="Times New Roman"/>
          <w:b/>
          <w:sz w:val="20"/>
        </w:rPr>
        <w:t xml:space="preserve">Exhibit 31.1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CERTIFICATIONS </w:t>
      </w:r>
    </w:p>
    <w:p>
      <w:pPr>
        <w:pStyle w:val="TextBody"/>
        <w:bidi w:val="0"/>
        <w:spacing w:before="240" w:after="0"/>
        <w:jc w:val="left"/>
        <w:rPr>
          <w:rFonts w:ascii="Times New Roman" w:hAnsi="Times New Roman"/>
          <w:sz w:val="20"/>
        </w:rPr>
      </w:pPr>
      <w:r>
        <w:rPr>
          <w:rFonts w:ascii="Times New Roman" w:hAnsi="Times New Roman"/>
          <w:sz w:val="20"/>
        </w:rPr>
        <w:t xml:space="preserve">I, Eric Lefkofsky,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Form 10-Q of Tempus AI,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intentionally omitted pursuant to Exchange Act Rule 13a-14(a)];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6,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tcBorders/>
          </w:tcPr>
          <w:p>
            <w:pPr>
              <w:pStyle w:val="TableContents"/>
              <w:bidi w:val="0"/>
              <w:spacing w:before="0" w:after="283"/>
              <w:jc w:val="left"/>
              <w:rPr/>
            </w:pPr>
            <w:r>
              <w:rPr/>
              <w:t>Eric Lefkofsky</w:t>
            </w:r>
          </w:p>
        </w:tc>
      </w:tr>
      <w:tr>
        <w:trPr/>
        <w:tc>
          <w:tcPr>
            <w:tcW w:w="4082" w:type="dxa"/>
            <w:tcBorders/>
          </w:tcPr>
          <w:p>
            <w:pPr>
              <w:pStyle w:val="TableContents"/>
              <w:bidi w:val="0"/>
              <w:spacing w:before="0" w:after="283"/>
              <w:jc w:val="left"/>
              <w:rPr/>
            </w:pPr>
            <w:r>
              <w:rPr/>
              <w:t>Chief Executive Officer, Founder and Chairman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Executive Officer)</w:t>
            </w:r>
          </w:p>
        </w:tc>
      </w:tr>
    </w:tbl>
    <w:p>
      <w:pPr>
        <w:pStyle w:val="TextBody"/>
        <w:bidi w:val="0"/>
        <w:spacing w:before="0" w:after="0"/>
        <w:jc w:val="right"/>
        <w:rPr>
          <w:rFonts w:ascii="Times New Roman" w:hAnsi="Times New Roman"/>
          <w:b/>
          <w:sz w:val="20"/>
        </w:rPr>
      </w:pPr>
      <w:bookmarkStart w:id="13" w:name="d700319dex312.htm"/>
      <w:bookmarkStart w:id="14" w:name="ksd700319dex312"/>
      <w:bookmarkEnd w:id="13"/>
      <w:bookmarkEnd w:id="14"/>
      <w:r>
        <w:rPr>
          <w:rFonts w:ascii="Times New Roman" w:hAnsi="Times New Roman"/>
          <w:b/>
          <w:sz w:val="20"/>
        </w:rPr>
        <w:t xml:space="preserve">Exhibit 31.2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CERTIFICATIONS </w:t>
      </w:r>
    </w:p>
    <w:p>
      <w:pPr>
        <w:pStyle w:val="TextBody"/>
        <w:bidi w:val="0"/>
        <w:spacing w:before="240" w:after="0"/>
        <w:jc w:val="left"/>
        <w:rPr>
          <w:rFonts w:ascii="Times New Roman" w:hAnsi="Times New Roman"/>
          <w:sz w:val="20"/>
        </w:rPr>
      </w:pPr>
      <w:r>
        <w:rPr>
          <w:rFonts w:ascii="Times New Roman" w:hAnsi="Times New Roman"/>
          <w:sz w:val="20"/>
        </w:rPr>
        <w:t xml:space="preserve">I, James Rogers,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Form 10-Q of Tempus AI,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intentionally omitted pursuant to Exchange Act Rule 13a-14(a)];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6,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82" w:type="dxa"/>
            <w:tcBorders/>
          </w:tcPr>
          <w:p>
            <w:pPr>
              <w:pStyle w:val="TableContents"/>
              <w:bidi w:val="0"/>
              <w:spacing w:before="0" w:after="283"/>
              <w:jc w:val="left"/>
              <w:rPr/>
            </w:pPr>
            <w:r>
              <w:rPr/>
              <w:t>James Rogers</w:t>
            </w:r>
          </w:p>
        </w:tc>
      </w:tr>
      <w:tr>
        <w:trPr/>
        <w:tc>
          <w:tcPr>
            <w:tcW w:w="4082" w:type="dxa"/>
            <w:tcBorders/>
          </w:tcPr>
          <w:p>
            <w:pPr>
              <w:pStyle w:val="TableContents"/>
              <w:bidi w:val="0"/>
              <w:spacing w:before="0" w:after="283"/>
              <w:jc w:val="left"/>
              <w:rPr/>
            </w:pPr>
            <w:r>
              <w:rPr/>
              <w:t>Chief Financial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Financial Officer)</w:t>
            </w:r>
          </w:p>
        </w:tc>
      </w:tr>
    </w:tbl>
    <w:p>
      <w:pPr>
        <w:pStyle w:val="TextBody"/>
        <w:bidi w:val="0"/>
        <w:spacing w:before="0" w:after="0"/>
        <w:jc w:val="right"/>
        <w:rPr>
          <w:rFonts w:ascii="Times New Roman" w:hAnsi="Times New Roman"/>
          <w:b/>
          <w:sz w:val="20"/>
        </w:rPr>
      </w:pPr>
      <w:bookmarkStart w:id="15" w:name="d700319dex321.htm"/>
      <w:bookmarkStart w:id="16" w:name="ksd700319dex321"/>
      <w:bookmarkEnd w:id="15"/>
      <w:bookmarkEnd w:id="16"/>
      <w:r>
        <w:rPr>
          <w:rFonts w:ascii="Times New Roman" w:hAnsi="Times New Roman"/>
          <w:b/>
          <w:sz w:val="20"/>
        </w:rPr>
        <w:t xml:space="preserve">Exhibit 32.1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Quarterly Report on Form 10-Q for the period ended June 30, 2024, to which this Certification is attached as Exhibit 32.1 (the Periodic Report), fully complies with the requirements of Section 13(a) or Section 15(d)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Periodic Report fairly presents, in all material respects, the financial condition and results of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5"/>
        <w:gridCol w:w="102"/>
        <w:gridCol w:w="408"/>
        <w:gridCol w:w="61"/>
        <w:gridCol w:w="23"/>
        <w:gridCol w:w="102"/>
        <w:gridCol w:w="4704"/>
      </w:tblGrid>
      <w:tr>
        <w:trPr/>
        <w:tc>
          <w:tcPr>
            <w:tcW w:w="48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04" w:type="dxa"/>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bidi w:val="0"/>
              <w:spacing w:before="0" w:after="283"/>
              <w:jc w:val="left"/>
              <w:rPr/>
            </w:pPr>
            <w:r>
              <w:rPr/>
              <w:t>Dated: August 6, 2024</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left"/>
              <w:rPr>
                <w:sz w:val="4"/>
                <w:szCs w:val="4"/>
              </w:rPr>
            </w:pPr>
            <w:r>
              <w:rPr>
                <w:sz w:val="4"/>
                <w:szCs w:val="4"/>
              </w:rPr>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805" w:type="dxa"/>
            <w:tcBorders/>
          </w:tcPr>
          <w:p>
            <w:pPr>
              <w:pStyle w:val="TableContents"/>
              <w:bidi w:val="0"/>
              <w:spacing w:before="0" w:after="283"/>
              <w:jc w:val="left"/>
              <w:rPr/>
            </w:pPr>
            <w:r>
              <w:rPr/>
              <w:t>Eric Lefkofsky</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left"/>
              <w:rPr/>
            </w:pPr>
            <w:r>
              <w:rPr/>
              <w:t>James Rogers</w:t>
            </w:r>
          </w:p>
        </w:tc>
      </w:tr>
      <w:tr>
        <w:trPr/>
        <w:tc>
          <w:tcPr>
            <w:tcW w:w="4805" w:type="dxa"/>
            <w:tcBorders/>
          </w:tcPr>
          <w:p>
            <w:pPr>
              <w:pStyle w:val="TableContents"/>
              <w:bidi w:val="0"/>
              <w:spacing w:before="0" w:after="283"/>
              <w:jc w:val="left"/>
              <w:rPr/>
            </w:pPr>
            <w:r>
              <w:rPr/>
              <w:t>Chief Executive Officer</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left"/>
              <w:rPr/>
            </w:pPr>
            <w:r>
              <w:rPr/>
              <w:t>Chief Financial Officer</w:t>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bidi w:val="0"/>
              <w:spacing w:before="0" w:after="283"/>
              <w:jc w:val="left"/>
              <w:rPr>
                <w:i/>
              </w:rPr>
            </w:pPr>
            <w:r>
              <w:rPr>
                <w:i/>
              </w:rPr>
              <w:t>(Principal Executive Officer)</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left"/>
              <w:rPr>
                <w:i/>
              </w:rPr>
            </w:pPr>
            <w:r>
              <w:rPr>
                <w:i/>
              </w:rPr>
              <w:t>(Principal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certification accompanies the Form 10-Q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10-Q), irrespective of any general incorporation language contained in such filing.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17115/000119312524162594/d665789dex31.htm" TargetMode="External"/><Relationship Id="rId3" Type="http://schemas.openxmlformats.org/officeDocument/2006/relationships/hyperlink" Target="http://www.sec.gov/Archives/edgar/data/1717115/000119312524162594/d665789dex32.htm" TargetMode="External"/><Relationship Id="rId4" Type="http://schemas.openxmlformats.org/officeDocument/2006/relationships/hyperlink" Target="http://www.sec.gov/Archives/edgar/data/1717115/000119312524142956/d221145dex101.htm" TargetMode="External"/><Relationship Id="rId5" Type="http://schemas.openxmlformats.org/officeDocument/2006/relationships/hyperlink" Target="http://www.sec.gov/Archives/edgar/data/1717115/000119312524142956/d221145dex104.htm" TargetMode="External"/><Relationship Id="rId6" Type="http://schemas.openxmlformats.org/officeDocument/2006/relationships/hyperlink" Target="http://www.sec.gov/Archives/edgar/data/1717115/000119312524142956/d221145dex105.htm" TargetMode="External"/><Relationship Id="rId7" Type="http://schemas.openxmlformats.org/officeDocument/2006/relationships/hyperlink" Target="http://www.sec.gov/Archives/edgar/data/1717115/000119312524142956/d221145dex106.htm" TargetMode="External"/><Relationship Id="rId8" Type="http://schemas.openxmlformats.org/officeDocument/2006/relationships/hyperlink" Target="http://www.sec.gov/Archives/edgar/data/1717115/000119312524142956/d221145dex107.htm" TargetMode="External"/><Relationship Id="rId9" Type="http://schemas.openxmlformats.org/officeDocument/2006/relationships/hyperlink" Target="http://www.sec.gov/Archives/edgar/data/1717115/000119312524142956/d221145dex1017.htm" TargetMode="External"/><Relationship Id="rId10" Type="http://schemas.openxmlformats.org/officeDocument/2006/relationships/hyperlink" Target="http://www.sec.gov/Archives/edgar/data/1717115/000119312524154635/d221145dex1027.htm" TargetMode="External"/><Relationship Id="rId11" Type="http://schemas.openxmlformats.org/officeDocument/2006/relationships/hyperlink" Target="http://www.sec.gov/Archives/edgar/data/1717115/000119312524154635/d221145dex1028.htm" TargetMode="External"/><Relationship Id="rId12" Type="http://schemas.openxmlformats.org/officeDocument/2006/relationships/hyperlink" Target="http://www.sec.gov/Archives/edgar/data/1717115/000119312524154635/d221145dex1029.htm" TargetMode="External"/><Relationship Id="rId13" Type="http://schemas.openxmlformats.org/officeDocument/2006/relationships/hyperlink" Target="http://www.sec.gov/Archives/edgar/data/1717115/000119312524154635/d221145dex1030.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122</Pages>
  <Words>86043</Words>
  <Characters>472527</Characters>
  <CharactersWithSpaces>564618</CharactersWithSpaces>
  <Paragraphs>12535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EX-32.1</dc:title>
</cp:coreProperties>
</file>