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2025</w:t>
      </w:r>
    </w:p>
    <w:p>
      <w:pPr>
        <w:spacing w:after="0" w:line="110"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3980" w:type="dxa"/>
            <w:vAlign w:val="bottom"/>
            <w:gridSpan w:val="7"/>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 to _________</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gridSpan w:val="4"/>
          </w:tcPr>
          <w:p>
            <w:pPr>
              <w:jc w:val="center"/>
              <w:ind w:right="1080"/>
              <w:spacing w:after="0"/>
              <w:rPr>
                <w:sz w:val="20"/>
                <w:szCs w:val="20"/>
                <w:color w:val="auto"/>
              </w:rPr>
            </w:pPr>
            <w:r>
              <w:rPr>
                <w:rFonts w:ascii="Times New Roman" w:cs="Times New Roman" w:eastAsia="Times New Roman" w:hAnsi="Times New Roman"/>
                <w:sz w:val="15"/>
                <w:szCs w:val="15"/>
                <w:b w:val="1"/>
                <w:bCs w:val="1"/>
                <w:color w:val="auto"/>
              </w:rPr>
              <w:t>Commission File No. 001-42130</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3800" w:type="dxa"/>
            <w:vAlign w:val="bottom"/>
          </w:tcPr>
          <w:p>
            <w:pPr>
              <w:spacing w:after="0"/>
              <w:rPr>
                <w:sz w:val="24"/>
                <w:szCs w:val="24"/>
                <w:color w:val="auto"/>
              </w:rPr>
            </w:pPr>
          </w:p>
        </w:tc>
        <w:tc>
          <w:tcPr>
            <w:tcW w:w="3980" w:type="dxa"/>
            <w:vAlign w:val="bottom"/>
            <w:gridSpan w:val="7"/>
          </w:tcPr>
          <w:p>
            <w:pPr>
              <w:ind w:left="360"/>
              <w:spacing w:after="0"/>
              <w:rPr>
                <w:sz w:val="20"/>
                <w:szCs w:val="20"/>
                <w:color w:val="auto"/>
              </w:rPr>
            </w:pPr>
            <w:r>
              <w:rPr>
                <w:rFonts w:ascii="Times New Roman" w:cs="Times New Roman" w:eastAsia="Times New Roman" w:hAnsi="Times New Roman"/>
                <w:sz w:val="40"/>
                <w:szCs w:val="40"/>
                <w:b w:val="1"/>
                <w:bCs w:val="1"/>
                <w:color w:val="auto"/>
              </w:rPr>
              <w:t>Tempus AI,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800" w:type="dxa"/>
            <w:vAlign w:val="bottom"/>
            <w:vMerge w:val="restart"/>
          </w:tcPr>
          <w:p>
            <w:pPr>
              <w:jc w:val="center"/>
              <w:ind w:left="54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60" w:type="dxa"/>
            <w:vAlign w:val="bottom"/>
            <w:vMerge w:val="restart"/>
          </w:tcPr>
          <w:p>
            <w:pPr>
              <w:jc w:val="center"/>
              <w:ind w:right="1087"/>
              <w:spacing w:after="0"/>
              <w:rPr>
                <w:sz w:val="20"/>
                <w:szCs w:val="20"/>
                <w:color w:val="auto"/>
              </w:rPr>
            </w:pPr>
            <w:r>
              <w:rPr>
                <w:rFonts w:ascii="Times New Roman" w:cs="Times New Roman" w:eastAsia="Times New Roman" w:hAnsi="Times New Roman"/>
                <w:sz w:val="15"/>
                <w:szCs w:val="15"/>
                <w:b w:val="1"/>
                <w:bCs w:val="1"/>
                <w:color w:val="auto"/>
              </w:rPr>
              <w:t>47-4903308</w:t>
            </w:r>
          </w:p>
        </w:tc>
        <w:tc>
          <w:tcPr>
            <w:tcW w:w="0" w:type="dxa"/>
            <w:vAlign w:val="bottom"/>
          </w:tcPr>
          <w:p>
            <w:pPr>
              <w:spacing w:after="0"/>
              <w:rPr>
                <w:sz w:val="1"/>
                <w:szCs w:val="1"/>
                <w:color w:val="auto"/>
              </w:rPr>
            </w:pPr>
          </w:p>
        </w:tc>
      </w:tr>
      <w:tr>
        <w:trPr>
          <w:trHeight w:val="279"/>
        </w:trPr>
        <w:tc>
          <w:tcPr>
            <w:tcW w:w="38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0" w:type="dxa"/>
            <w:vAlign w:val="bottom"/>
          </w:tcPr>
          <w:p>
            <w:pPr>
              <w:jc w:val="center"/>
              <w:ind w:left="52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60" w:type="dxa"/>
            <w:vAlign w:val="bottom"/>
          </w:tcPr>
          <w:p>
            <w:pPr>
              <w:jc w:val="center"/>
              <w:ind w:right="106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00" w:type="dxa"/>
            <w:vAlign w:val="bottom"/>
          </w:tcPr>
          <w:p>
            <w:pPr>
              <w:spacing w:after="0"/>
              <w:rPr>
                <w:sz w:val="16"/>
                <w:szCs w:val="16"/>
                <w:color w:val="auto"/>
              </w:rPr>
            </w:pPr>
          </w:p>
        </w:tc>
        <w:tc>
          <w:tcPr>
            <w:tcW w:w="3380" w:type="dxa"/>
            <w:vAlign w:val="bottom"/>
            <w:gridSpan w:val="6"/>
            <w:vMerge w:val="restart"/>
          </w:tcPr>
          <w:p>
            <w:pPr>
              <w:jc w:val="center"/>
              <w:ind w:right="960"/>
              <w:spacing w:after="0"/>
              <w:rPr>
                <w:sz w:val="20"/>
                <w:szCs w:val="20"/>
                <w:color w:val="auto"/>
              </w:rPr>
            </w:pPr>
            <w:r>
              <w:rPr>
                <w:rFonts w:ascii="Times New Roman" w:cs="Times New Roman" w:eastAsia="Times New Roman" w:hAnsi="Times New Roman"/>
                <w:sz w:val="15"/>
                <w:szCs w:val="15"/>
                <w:b w:val="1"/>
                <w:bCs w:val="1"/>
                <w:color w:val="auto"/>
              </w:rPr>
              <w:t>600 West Chicago Avenue, Suite 510</w:t>
            </w:r>
          </w:p>
        </w:tc>
        <w:tc>
          <w:tcPr>
            <w:tcW w:w="3460" w:type="dxa"/>
            <w:vAlign w:val="bottom"/>
          </w:tcPr>
          <w:p>
            <w:pPr>
              <w:jc w:val="center"/>
              <w:ind w:right="106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51"/>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80" w:type="dxa"/>
            <w:vAlign w:val="bottom"/>
            <w:gridSpan w:val="6"/>
            <w:vMerge w:val="continue"/>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gridSpan w:val="4"/>
          </w:tcPr>
          <w:p>
            <w:pPr>
              <w:jc w:val="center"/>
              <w:ind w:right="1100"/>
              <w:spacing w:after="0" w:line="159" w:lineRule="exact"/>
              <w:rPr>
                <w:sz w:val="20"/>
                <w:szCs w:val="20"/>
                <w:color w:val="auto"/>
              </w:rPr>
            </w:pPr>
            <w:r>
              <w:rPr>
                <w:rFonts w:ascii="Times New Roman" w:cs="Times New Roman" w:eastAsia="Times New Roman" w:hAnsi="Times New Roman"/>
                <w:sz w:val="15"/>
                <w:szCs w:val="15"/>
                <w:b w:val="1"/>
                <w:bCs w:val="1"/>
                <w:color w:val="auto"/>
              </w:rPr>
              <w:t>Chicago, IL 60654</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3"/>
                <w:szCs w:val="13"/>
                <w:color w:val="auto"/>
              </w:rPr>
            </w:pPr>
          </w:p>
        </w:tc>
        <w:tc>
          <w:tcPr>
            <w:tcW w:w="2940" w:type="dxa"/>
            <w:vAlign w:val="bottom"/>
            <w:gridSpan w:val="4"/>
          </w:tcPr>
          <w:p>
            <w:pPr>
              <w:jc w:val="center"/>
              <w:ind w:left="564"/>
              <w:spacing w:after="0" w:line="161" w:lineRule="exact"/>
              <w:rPr>
                <w:sz w:val="20"/>
                <w:szCs w:val="20"/>
                <w:color w:val="auto"/>
              </w:rPr>
            </w:pPr>
            <w:r>
              <w:rPr>
                <w:rFonts w:ascii="Times New Roman" w:cs="Times New Roman" w:eastAsia="Times New Roman" w:hAnsi="Times New Roman"/>
                <w:sz w:val="15"/>
                <w:szCs w:val="15"/>
                <w:b w:val="1"/>
                <w:bCs w:val="1"/>
                <w:color w:val="auto"/>
              </w:rPr>
              <w:t>(800) 976-5448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gridSpan w:val="4"/>
          </w:tcPr>
          <w:p>
            <w:pPr>
              <w:jc w:val="center"/>
              <w:ind w:right="1080"/>
              <w:spacing w:after="0" w:line="161" w:lineRule="exact"/>
              <w:rPr>
                <w:sz w:val="20"/>
                <w:szCs w:val="20"/>
                <w:color w:val="auto"/>
              </w:rPr>
            </w:pPr>
            <w:r>
              <w:rPr>
                <w:rFonts w:ascii="Times New Roman" w:cs="Times New Roman" w:eastAsia="Times New Roman" w:hAnsi="Times New Roman"/>
                <w:sz w:val="15"/>
                <w:szCs w:val="15"/>
                <w:b w:val="1"/>
                <w:bCs w:val="1"/>
                <w:color w:val="auto"/>
              </w:rPr>
              <w:t>N/A</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05"/>
        </w:trPr>
        <w:tc>
          <w:tcPr>
            <w:tcW w:w="44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780" w:type="dxa"/>
            <w:vAlign w:val="bottom"/>
            <w:gridSpan w:val="8"/>
          </w:tcPr>
          <w:p>
            <w:pPr>
              <w:jc w:val="center"/>
              <w:ind w:left="3366"/>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0" w:type="dxa"/>
            <w:vAlign w:val="bottom"/>
            <w:vMerge w:val="restart"/>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60" w:type="dxa"/>
            <w:vAlign w:val="bottom"/>
          </w:tcPr>
          <w:p>
            <w:pPr>
              <w:jc w:val="center"/>
              <w:ind w:right="827"/>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8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60" w:type="dxa"/>
            <w:vAlign w:val="bottom"/>
          </w:tcPr>
          <w:p>
            <w:pPr>
              <w:jc w:val="center"/>
              <w:ind w:right="867"/>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2"/>
        </w:trPr>
        <w:tc>
          <w:tcPr>
            <w:tcW w:w="3800" w:type="dxa"/>
            <w:vAlign w:val="bottom"/>
            <w:tcBorders>
              <w:top w:val="single" w:sz="8" w:color="auto"/>
            </w:tcBorders>
          </w:tcPr>
          <w:p>
            <w:pPr>
              <w:jc w:val="center"/>
              <w:ind w:left="526"/>
              <w:spacing w:after="0"/>
              <w:rPr>
                <w:sz w:val="20"/>
                <w:szCs w:val="20"/>
                <w:color w:val="auto"/>
              </w:rPr>
            </w:pPr>
            <w:r>
              <w:rPr>
                <w:rFonts w:ascii="Times New Roman" w:cs="Times New Roman" w:eastAsia="Times New Roman" w:hAnsi="Times New Roman"/>
                <w:sz w:val="15"/>
                <w:szCs w:val="15"/>
                <w:color w:val="auto"/>
              </w:rPr>
              <w:t>Class A common stock, $0.0001 par value per share</w:t>
            </w: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TEM</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jc w:val="center"/>
              <w:ind w:right="847"/>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ind w:right="440"/>
        <w:spacing w:after="0" w:line="199" w:lineRule="exact"/>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62" w:lineRule="exact"/>
        <w:rPr>
          <w:sz w:val="24"/>
          <w:szCs w:val="24"/>
          <w:color w:val="auto"/>
        </w:rPr>
      </w:pPr>
    </w:p>
    <w:p>
      <w:pPr>
        <w:ind w:right="180"/>
        <w:spacing w:after="0" w:line="199" w:lineRule="exact"/>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73" w:lineRule="exact"/>
        <w:rPr>
          <w:sz w:val="24"/>
          <w:szCs w:val="24"/>
          <w:color w:val="auto"/>
        </w:rPr>
      </w:pPr>
    </w:p>
    <w:p>
      <w:pPr>
        <w:spacing w:after="0" w:line="173" w:lineRule="exact"/>
        <w:tabs>
          <w:tab w:leader="none" w:pos="2020" w:val="left"/>
          <w:tab w:leader="none" w:pos="820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p>
    <w:p>
      <w:pPr>
        <w:spacing w:after="0" w:line="85" w:lineRule="exact"/>
        <w:rPr>
          <w:sz w:val="24"/>
          <w:szCs w:val="24"/>
          <w:color w:val="auto"/>
        </w:rPr>
      </w:pPr>
    </w:p>
    <w:p>
      <w:pPr>
        <w:spacing w:after="0" w:line="173" w:lineRule="exact"/>
        <w:tabs>
          <w:tab w:leader="none" w:pos="2020" w:val="left"/>
          <w:tab w:leader="none" w:pos="820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p>
    <w:p>
      <w:pPr>
        <w:spacing w:after="0" w:line="78"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11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20" w:lineRule="exact"/>
        <w:rPr>
          <w:sz w:val="24"/>
          <w:szCs w:val="24"/>
          <w:color w:val="auto"/>
        </w:rPr>
      </w:pPr>
    </w:p>
    <w:p>
      <w:pPr>
        <w:sectPr>
          <w:pgSz w:w="11900" w:h="16838" w:orient="portrait"/>
          <w:cols w:equalWidth="0" w:num="2">
            <w:col w:w="10640" w:space="280"/>
            <w:col w:w="3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As of May 2, 2025, there were 168,072,456 shares of Class A common stock and 5,043,789 shares of Class B common stock, each with a par value of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917575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5"/>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5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Part I – Condensed Consolidated Financial Statements (unaudited)</w:t>
            </w:r>
          </w:p>
        </w:tc>
        <w:tc>
          <w:tcPr>
            <w:tcW w:w="540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Quarterly Financial Statements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940" w:type="dxa"/>
            <w:vAlign w:val="bottom"/>
            <w:tcBorders>
              <w:top w:val="single" w:sz="8" w:color="0000EE"/>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0" w:type="dxa"/>
            <w:vAlign w:val="bottom"/>
            <w:tcBorders>
              <w:top w:val="single" w:sz="8" w:color="0000EE"/>
              <w:bottom w:val="single" w:sz="8" w:color="0000EE"/>
            </w:tcBorders>
          </w:tcPr>
          <w:p>
            <w:pPr>
              <w:spacing w:after="0"/>
              <w:rPr>
                <w:sz w:val="24"/>
                <w:szCs w:val="24"/>
                <w:color w:val="auto"/>
              </w:rPr>
            </w:pPr>
          </w:p>
        </w:tc>
        <w:tc>
          <w:tcPr>
            <w:tcW w:w="1640" w:type="dxa"/>
            <w:vAlign w:val="bottom"/>
            <w:tcBorders>
              <w:top w:val="single" w:sz="8" w:color="0000EE"/>
            </w:tcBorders>
            <w:gridSpan w:val="7"/>
          </w:tcPr>
          <w:p>
            <w:pPr>
              <w:spacing w:after="0"/>
              <w:rPr>
                <w:sz w:val="24"/>
                <w:szCs w:val="24"/>
                <w:color w:val="auto"/>
              </w:rPr>
            </w:pPr>
          </w:p>
        </w:tc>
        <w:tc>
          <w:tcPr>
            <w:tcW w:w="462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36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48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Common Stock and Stockholders’ Equity</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(Deficit)</w:t>
            </w:r>
          </w:p>
        </w:tc>
        <w:tc>
          <w:tcPr>
            <w:tcW w:w="85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31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 w:type="dxa"/>
            <w:vAlign w:val="bottom"/>
            <w:tcBorders>
              <w:bottom w:val="single" w:sz="8" w:color="0000EE"/>
            </w:tcBorders>
          </w:tcPr>
          <w:p>
            <w:pPr>
              <w:spacing w:after="0"/>
              <w:rPr>
                <w:sz w:val="24"/>
                <w:szCs w:val="24"/>
                <w:color w:val="auto"/>
              </w:rPr>
            </w:pPr>
          </w:p>
        </w:tc>
        <w:tc>
          <w:tcPr>
            <w:tcW w:w="520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2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40" w:type="dxa"/>
            <w:vAlign w:val="bottom"/>
            <w:tcBorders>
              <w:bottom w:val="single" w:sz="8" w:color="0000EE"/>
            </w:tcBorders>
          </w:tcPr>
          <w:p>
            <w:pPr>
              <w:spacing w:after="0"/>
              <w:rPr>
                <w:sz w:val="24"/>
                <w:szCs w:val="24"/>
                <w:color w:val="auto"/>
              </w:rPr>
            </w:pPr>
          </w:p>
        </w:tc>
        <w:tc>
          <w:tcPr>
            <w:tcW w:w="840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834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431"/>
        </w:trPr>
        <w:tc>
          <w:tcPr>
            <w:tcW w:w="82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Quarterly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151,603</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340,954</w:t>
            </w: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$1,477 and $1,141 at March 31, 2025 and December 31,</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154,819</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573,970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667,603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1,543,137</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75,981</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other income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r>
      <w:tr>
        <w:trPr>
          <w:trHeight w:val="210"/>
        </w:trPr>
        <w:tc>
          <w:tcPr>
            <w:tcW w:w="79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336,470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291,070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233,620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267,244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other income, less current portion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1,216,943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-4062730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-2957195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-2957195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Convertible redeemable preferred stock, $0.0001 par value, 20,000,000 shares authorized at March 31,</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and December 31, 2024, respectively, no shares issued and outstanding at March 31, 2025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2024; aggregate liquidation preference of $0 at March 31, 2025 and December 31, 2024,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Voting Common Stock, $0.0001 par value, 1,000,000,000 shares authorized at March 31, 2025</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December 31, 2024, respectively; 167,989,074 and 157,076,972 shares issued and outstanding at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198"/>
        </w:trPr>
        <w:tc>
          <w:tcPr>
            <w:tcW w:w="7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Voting Common Stock, $0.0001 par value, 5,500,000 shares authorized at March 31, 2025 and</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 5,043,789 issued and outstanding at March 31, 2025 and December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31, 2024, respectively</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no shares authorized at March 31, 2025 and December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2024, respectively; no shares issued and outstanding at March 31, 2025, and December 31, 2024,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Treasury Stock, 145,466 shares at March 31, 2025 and December 31, 2024, at cost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(3,602)</w:t>
            </w:r>
          </w:p>
        </w:tc>
        <w:tc>
          <w:tcPr>
            <w:tcW w:w="4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(3,602)</w:t>
            </w: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2,543,957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2,210,664</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(2,218,871)</w:t>
            </w:r>
          </w:p>
        </w:tc>
        <w:tc>
          <w:tcPr>
            <w:tcW w:w="4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(2,150,834)</w:t>
            </w:r>
          </w:p>
        </w:tc>
      </w:tr>
      <w:tr>
        <w:trPr>
          <w:trHeight w:val="20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326,194</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equity</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1,543,137</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Genomics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Data and services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(68,689)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(53,274)</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(27,455)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benefit from (provision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(112,334)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(64,732)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(93,056)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170,506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(68,037)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(63,439)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(64,799)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-3660140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-3660140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-2553970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-1988185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-1405255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-1122680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-1122680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9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marketable equity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(6,246)</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(46,216)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holdback liability</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18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(45,175)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(13,552)</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(5,729)</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(12,057)</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(15,974)</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Deferred other income</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(27,606)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r>
        <w:trPr>
          <w:trHeight w:val="20"/>
        </w:trPr>
        <w:tc>
          <w:tcPr>
            <w:tcW w:w="9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(105,624)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(101,378)</w:t>
            </w:r>
          </w:p>
        </w:tc>
      </w:tr>
      <w:tr>
        <w:trPr>
          <w:trHeight w:val="209"/>
        </w:trPr>
        <w:tc>
          <w:tcPr>
            <w:tcW w:w="9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00" w:type="dxa"/>
            <w:vAlign w:val="bottom"/>
          </w:tcPr>
          <w:p>
            <w:pPr>
              <w:spacing w:after="0"/>
              <w:rPr>
                <w:sz w:val="18"/>
                <w:szCs w:val="18"/>
                <w:color w:val="auto"/>
              </w:rPr>
            </w:pP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4)</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(380,762)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capitalized software</w:t>
            </w:r>
          </w:p>
        </w:tc>
        <w:tc>
          <w:tcPr>
            <w:tcW w:w="1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10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(375,818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-1130935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6344285</wp:posOffset>
            </wp:positionH>
            <wp:positionV relativeFrom="paragraph">
              <wp:posOffset>-166370</wp:posOffset>
            </wp:positionV>
            <wp:extent cx="10287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-166370</wp:posOffset>
            </wp:positionV>
            <wp:extent cx="939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revolving credit facility, net of original issue discount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FF0FC"/>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(188,509)</w:t>
            </w: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153,326</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151,603</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153,326</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7,003</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7,060</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Class A Voting Common Stock issued in connection with business combinations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310,320</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Series G-3 Preferred Stock</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right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Issuance of Series G-4 Preferred Stock</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Convertible promissory note principal reset due to amendment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72,488</w:t>
            </w:r>
          </w:p>
        </w:tc>
        <w:tc>
          <w:tcPr>
            <w:tcW w:w="120" w:type="dxa"/>
            <w:vAlign w:val="bottom"/>
          </w:tcPr>
          <w:p>
            <w:pPr>
              <w:spacing w:after="0"/>
              <w:rPr>
                <w:sz w:val="17"/>
                <w:szCs w:val="17"/>
                <w:color w:val="auto"/>
              </w:rPr>
            </w:pPr>
          </w:p>
        </w:tc>
        <w:tc>
          <w:tcPr>
            <w:tcW w:w="500" w:type="dxa"/>
            <w:vAlign w:val="bottom"/>
            <w:gridSpan w:val="2"/>
          </w:tcPr>
          <w:p>
            <w:pPr>
              <w:jc w:val="right"/>
              <w:ind w:right="2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5916930</wp:posOffset>
            </wp:positionH>
            <wp:positionV relativeFrom="paragraph">
              <wp:posOffset>-3955415</wp:posOffset>
            </wp:positionV>
            <wp:extent cx="939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6911340</wp:posOffset>
            </wp:positionH>
            <wp:positionV relativeFrom="paragraph">
              <wp:posOffset>-3955415</wp:posOffset>
            </wp:positionV>
            <wp:extent cx="939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-3085465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-3068320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-3085465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-3068320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-2365375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-2348230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-2365375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-2348230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-1927860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-1910715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-1927860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-1910715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-1165225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-1148080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-1165225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-1148080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-839470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-822325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-839470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-822325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-513715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-496570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-513715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-496570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-187960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-170815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-170815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COMMON STOCK AND STOCKHOLDERS’ EQUITY (DEFICIT) (Unaudited)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6"/>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6"/>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6"/>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Class A</w:t>
            </w: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0"/>
              </w:rPr>
              <w:t>Class B</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6"/>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0"/>
                <w:szCs w:val="10"/>
                <w:color w:val="auto"/>
              </w:rPr>
            </w:pPr>
          </w:p>
        </w:tc>
        <w:tc>
          <w:tcPr>
            <w:tcW w:w="82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bottom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3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auto"/>
            </w:tcBorders>
            <w:gridSpan w:val="3"/>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gridSpan w:val="3"/>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620" w:type="dxa"/>
            <w:vAlign w:val="bottom"/>
            <w:tcBorders>
              <w:bottom w:val="single" w:sz="8" w:color="auto"/>
            </w:tcBorders>
            <w:gridSpan w:val="3"/>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auto"/>
            </w:tcBorders>
            <w:gridSpan w:val="2"/>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0"/>
                <w:szCs w:val="10"/>
                <w:color w:val="auto"/>
              </w:rPr>
            </w:pPr>
          </w:p>
        </w:tc>
        <w:tc>
          <w:tcPr>
            <w:tcW w:w="820" w:type="dxa"/>
            <w:vAlign w:val="bottom"/>
            <w:tcBorders>
              <w:bottom w:val="single" w:sz="8" w:color="auto"/>
            </w:tcBorders>
            <w:gridSpan w:val="3"/>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bottom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(Loss) Income</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2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54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157,076,972</w:t>
            </w:r>
          </w:p>
        </w:tc>
        <w:tc>
          <w:tcPr>
            <w:tcW w:w="180" w:type="dxa"/>
            <w:vAlign w:val="bottom"/>
            <w:tcBorders>
              <w:left w:val="single" w:sz="8" w:color="CFF0FC"/>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w:t>
            </w:r>
          </w:p>
        </w:tc>
        <w:tc>
          <w:tcPr>
            <w:tcW w:w="86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5,043,789</w:t>
            </w: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right w:val="single" w:sz="8" w:color="CFF0FC"/>
            </w:tcBorders>
            <w:gridSpan w:val="2"/>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(3,602)</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2,210,664</w:t>
            </w:r>
          </w:p>
        </w:tc>
        <w:tc>
          <w:tcPr>
            <w:tcW w:w="540" w:type="dxa"/>
            <w:vAlign w:val="bottom"/>
            <w:gridSpan w:val="2"/>
            <w:shd w:val="clear" w:color="auto" w:fill="CFF0FC"/>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CFF0FC"/>
            </w:tcBorders>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(2,150,834)</w:t>
            </w:r>
          </w:p>
        </w:tc>
        <w:tc>
          <w:tcPr>
            <w:tcW w:w="2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94</w:t>
            </w:r>
          </w:p>
        </w:tc>
        <w:tc>
          <w:tcPr>
            <w:tcW w:w="180" w:type="dxa"/>
            <w:vAlign w:val="bottom"/>
            <w:tcBorders>
              <w:left w:val="single" w:sz="8" w:color="CFF0FC"/>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56,339</w:t>
            </w:r>
          </w:p>
        </w:tc>
        <w:tc>
          <w:tcPr>
            <w:tcW w:w="120" w:type="dxa"/>
            <w:vAlign w:val="bottom"/>
            <w:tcBorders>
              <w:left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w w:val="99"/>
              </w:rPr>
              <w:t>Issuance of common stock upon settlement of</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restricted stock units, net</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5,799,686</w:t>
            </w:r>
          </w:p>
        </w:tc>
        <w:tc>
          <w:tcPr>
            <w:tcW w:w="180" w:type="dxa"/>
            <w:vAlign w:val="bottom"/>
          </w:tcPr>
          <w:p>
            <w:pPr>
              <w:spacing w:after="0"/>
              <w:rPr>
                <w:sz w:val="11"/>
                <w:szCs w:val="11"/>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20" w:type="dxa"/>
            <w:vAlign w:val="bottom"/>
            <w:gridSpan w:val="4"/>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w w:val="99"/>
              </w:rPr>
              <w:t>Issuance of common stock in connection with</w:t>
            </w: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combinations</w:t>
            </w: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5,112,416</w:t>
            </w:r>
          </w:p>
        </w:tc>
        <w:tc>
          <w:tcPr>
            <w:tcW w:w="180" w:type="dxa"/>
            <w:vAlign w:val="bottom"/>
            <w:tcBorders>
              <w:left w:val="single" w:sz="8" w:color="CFF0FC"/>
              <w:right w:val="single" w:sz="8" w:color="CFF0FC"/>
            </w:tcBorders>
            <w:shd w:val="clear" w:color="auto" w:fill="CFF0FC"/>
          </w:tcPr>
          <w:p>
            <w:pPr>
              <w:spacing w:after="0"/>
              <w:rPr>
                <w:sz w:val="11"/>
                <w:szCs w:val="11"/>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1"/>
                <w:szCs w:val="11"/>
                <w:color w:val="auto"/>
              </w:rPr>
            </w:pPr>
          </w:p>
        </w:tc>
        <w:tc>
          <w:tcPr>
            <w:tcW w:w="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310,320</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310,320</w:t>
            </w:r>
          </w:p>
        </w:tc>
        <w:tc>
          <w:tcPr>
            <w:tcW w:w="12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8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22,974</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22,974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58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4,598</w:t>
            </w:r>
          </w:p>
        </w:tc>
        <w:tc>
          <w:tcPr>
            <w:tcW w:w="10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4,598</w:t>
            </w:r>
          </w:p>
        </w:tc>
        <w:tc>
          <w:tcPr>
            <w:tcW w:w="120" w:type="dxa"/>
            <w:vAlign w:val="bottom"/>
            <w:tcBorders>
              <w:left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4"/>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(68,037)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(68,037)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4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167,989,074</w:t>
            </w:r>
          </w:p>
        </w:tc>
        <w:tc>
          <w:tcPr>
            <w:tcW w:w="180" w:type="dxa"/>
            <w:vAlign w:val="bottom"/>
            <w:tcBorders>
              <w:left w:val="single" w:sz="8" w:color="CFF0FC"/>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17</w:t>
            </w:r>
          </w:p>
        </w:tc>
        <w:tc>
          <w:tcPr>
            <w:tcW w:w="86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5,043,789</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8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3"/>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(3,602 )  $</w:t>
            </w:r>
          </w:p>
        </w:tc>
        <w:tc>
          <w:tcPr>
            <w:tcW w:w="60" w:type="dxa"/>
            <w:vAlign w:val="bottom"/>
            <w:shd w:val="clear" w:color="auto" w:fill="CFF0FC"/>
          </w:tcPr>
          <w:p>
            <w:pPr>
              <w:spacing w:after="0"/>
              <w:rPr>
                <w:sz w:val="11"/>
                <w:szCs w:val="11"/>
                <w:color w:val="auto"/>
              </w:rPr>
            </w:pPr>
          </w:p>
        </w:tc>
        <w:tc>
          <w:tcPr>
            <w:tcW w:w="600" w:type="dxa"/>
            <w:vAlign w:val="bottom"/>
            <w:gridSpan w:val="3"/>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2,543,957</w:t>
            </w:r>
          </w:p>
        </w:tc>
        <w:tc>
          <w:tcPr>
            <w:tcW w:w="540" w:type="dxa"/>
            <w:vAlign w:val="bottom"/>
            <w:gridSpan w:val="2"/>
            <w:shd w:val="clear" w:color="auto" w:fill="CFF0FC"/>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CFF0FC"/>
            </w:tcBorders>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(2,218,871)</w:t>
            </w:r>
          </w:p>
        </w:tc>
        <w:tc>
          <w:tcPr>
            <w:tcW w:w="2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4,692</w:t>
            </w:r>
          </w:p>
        </w:tc>
        <w:tc>
          <w:tcPr>
            <w:tcW w:w="180" w:type="dxa"/>
            <w:vAlign w:val="bottom"/>
            <w:tcBorders>
              <w:left w:val="single" w:sz="8" w:color="CFF0FC"/>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326,194</w:t>
            </w:r>
          </w:p>
        </w:tc>
        <w:tc>
          <w:tcPr>
            <w:tcW w:w="12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4"/>
            <w:vMerge w:val="restart"/>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vMerge w:val="restart"/>
          </w:tcPr>
          <w:p>
            <w:pPr>
              <w:jc w:val="center"/>
              <w:ind w:left="7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4"/>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Non-Voting</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left="9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7"/>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2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7"/>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54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1"/>
                <w:szCs w:val="11"/>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gridSpan w:val="2"/>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Borders>
              <w:top w:val="single" w:sz="8" w:color="auto"/>
              <w:bottom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640" w:type="dxa"/>
            <w:vAlign w:val="bottom"/>
            <w:tcBorders>
              <w:top w:val="single" w:sz="8" w:color="auto"/>
              <w:bottom w:val="single" w:sz="8" w:color="auto"/>
            </w:tcBorders>
            <w:gridSpan w:val="3"/>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bottom w:val="single" w:sz="8" w:color="auto"/>
            </w:tcBorders>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gridSpan w:val="2"/>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0"/>
                <w:szCs w:val="10"/>
                <w:color w:val="auto"/>
              </w:rPr>
            </w:pPr>
          </w:p>
        </w:tc>
        <w:tc>
          <w:tcPr>
            <w:tcW w:w="580" w:type="dxa"/>
            <w:vAlign w:val="bottom"/>
            <w:tcBorders>
              <w:bottom w:val="single" w:sz="8" w:color="auto"/>
            </w:tcBorders>
            <w:gridSpan w:val="3"/>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auto"/>
            </w:tcBorders>
            <w:gridSpan w:val="3"/>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w w:val="99"/>
              </w:rPr>
              <w:t>(Loss) Income</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5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6"/>
              </w:rPr>
              <w:t>63,525,953</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CFF0FC"/>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1,105,543</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58,367,961</w:t>
            </w:r>
          </w:p>
        </w:tc>
        <w:tc>
          <w:tcPr>
            <w:tcW w:w="24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w:t>
            </w:r>
          </w:p>
        </w:tc>
        <w:tc>
          <w:tcPr>
            <w:tcW w:w="760" w:type="dxa"/>
            <w:vAlign w:val="bottom"/>
            <w:gridSpan w:val="4"/>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5,205,802</w:t>
            </w:r>
          </w:p>
        </w:tc>
        <w:tc>
          <w:tcPr>
            <w:tcW w:w="32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580" w:type="dxa"/>
            <w:vAlign w:val="bottom"/>
            <w:gridSpan w:val="3"/>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(3,602)</w:t>
            </w:r>
          </w:p>
        </w:tc>
        <w:tc>
          <w:tcPr>
            <w:tcW w:w="1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18,345</w:t>
            </w:r>
          </w:p>
        </w:tc>
        <w:tc>
          <w:tcPr>
            <w:tcW w:w="400" w:type="dxa"/>
            <w:vAlign w:val="bottom"/>
            <w:gridSpan w:val="2"/>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(1,396,917)</w:t>
            </w:r>
          </w:p>
        </w:tc>
        <w:tc>
          <w:tcPr>
            <w:tcW w:w="7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left w:val="single" w:sz="8" w:color="CFF0FC"/>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(1,382,163)</w:t>
            </w:r>
          </w:p>
        </w:tc>
        <w:tc>
          <w:tcPr>
            <w:tcW w:w="0" w:type="dxa"/>
            <w:vAlign w:val="bottom"/>
          </w:tcPr>
          <w:p>
            <w:pPr>
              <w:spacing w:after="0"/>
              <w:rPr>
                <w:sz w:val="1"/>
                <w:szCs w:val="1"/>
                <w:color w:val="auto"/>
              </w:rPr>
            </w:pPr>
          </w:p>
        </w:tc>
      </w:tr>
      <w:tr>
        <w:trPr>
          <w:trHeight w:val="121"/>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Issuance of Series G-3 Preferred Stock</w:t>
            </w:r>
          </w:p>
        </w:tc>
        <w:tc>
          <w:tcPr>
            <w:tcW w:w="5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66,465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3,809</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600" w:type="dxa"/>
            <w:vAlign w:val="bottom"/>
            <w:gridSpan w:val="3"/>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0"/>
                <w:szCs w:val="10"/>
                <w:color w:val="auto"/>
              </w:rPr>
            </w:pPr>
          </w:p>
        </w:tc>
        <w:tc>
          <w:tcPr>
            <w:tcW w:w="2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Series G-4 Preferred Stock</w:t>
            </w:r>
          </w:p>
        </w:tc>
        <w:tc>
          <w:tcPr>
            <w:tcW w:w="5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10,666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611</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3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spacing w:after="0"/>
              <w:rPr>
                <w:sz w:val="10"/>
                <w:szCs w:val="10"/>
                <w:color w:val="auto"/>
              </w:rPr>
            </w:pPr>
          </w:p>
        </w:tc>
        <w:tc>
          <w:tcPr>
            <w:tcW w:w="280" w:type="dxa"/>
            <w:vAlign w:val="bottom"/>
            <w:tcBorders>
              <w:left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1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0"/>
                <w:szCs w:val="10"/>
                <w:color w:val="auto"/>
              </w:rPr>
            </w:pPr>
          </w:p>
        </w:tc>
        <w:tc>
          <w:tcPr>
            <w:tcW w:w="600" w:type="dxa"/>
            <w:vAlign w:val="bottom"/>
            <w:gridSpan w:val="3"/>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0"/>
                <w:szCs w:val="10"/>
                <w:color w:val="auto"/>
              </w:rPr>
            </w:pPr>
          </w:p>
        </w:tc>
        <w:tc>
          <w:tcPr>
            <w:tcW w:w="28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w w:val="97"/>
              </w:rPr>
              <w:t>(56)</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22"/>
        </w:trPr>
        <w:tc>
          <w:tcPr>
            <w:tcW w:w="20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Dividends</w:t>
            </w: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tcBorders>
              <w:right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24,839</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gridSpan w:val="3"/>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6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4"/>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(27,807)</w:t>
            </w:r>
          </w:p>
        </w:tc>
        <w:tc>
          <w:tcPr>
            <w:tcW w:w="740" w:type="dxa"/>
            <w:vAlign w:val="bottom"/>
            <w:shd w:val="clear" w:color="auto" w:fill="CFF0FC"/>
          </w:tcPr>
          <w:p>
            <w:pPr>
              <w:spacing w:after="0"/>
              <w:rPr>
                <w:sz w:val="10"/>
                <w:szCs w:val="10"/>
                <w:color w:val="auto"/>
              </w:rPr>
            </w:pPr>
          </w:p>
        </w:tc>
        <w:tc>
          <w:tcPr>
            <w:tcW w:w="280" w:type="dxa"/>
            <w:vAlign w:val="bottom"/>
            <w:tcBorders>
              <w:left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(27,807)</w:t>
            </w:r>
          </w:p>
        </w:tc>
        <w:tc>
          <w:tcPr>
            <w:tcW w:w="0" w:type="dxa"/>
            <w:vAlign w:val="bottom"/>
          </w:tcPr>
          <w:p>
            <w:pPr>
              <w:spacing w:after="0"/>
              <w:rPr>
                <w:sz w:val="1"/>
                <w:szCs w:val="1"/>
                <w:color w:val="auto"/>
              </w:rPr>
            </w:pPr>
          </w:p>
        </w:tc>
      </w:tr>
      <w:tr>
        <w:trPr>
          <w:trHeight w:val="108"/>
        </w:trPr>
        <w:tc>
          <w:tcPr>
            <w:tcW w:w="20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Common stock issued in connection with</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business combinations</w:t>
            </w:r>
          </w:p>
        </w:tc>
        <w:tc>
          <w:tcPr>
            <w:tcW w:w="1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1"/>
                <w:szCs w:val="11"/>
                <w:color w:val="auto"/>
              </w:rPr>
            </w:pPr>
          </w:p>
        </w:tc>
        <w:tc>
          <w:tcPr>
            <w:tcW w:w="600" w:type="dxa"/>
            <w:vAlign w:val="bottom"/>
            <w:gridSpan w:val="3"/>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1"/>
                <w:szCs w:val="11"/>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tcBorders>
              <w:left w:val="single" w:sz="8" w:color="CFF0FC"/>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4"/>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(64,743)</w:t>
            </w:r>
          </w:p>
        </w:tc>
        <w:tc>
          <w:tcPr>
            <w:tcW w:w="740" w:type="dxa"/>
            <w:vAlign w:val="bottom"/>
            <w:shd w:val="clear" w:color="auto" w:fill="CFF0FC"/>
          </w:tcPr>
          <w:p>
            <w:pPr>
              <w:spacing w:after="0"/>
              <w:rPr>
                <w:sz w:val="10"/>
                <w:szCs w:val="10"/>
                <w:color w:val="auto"/>
              </w:rPr>
            </w:pPr>
          </w:p>
        </w:tc>
        <w:tc>
          <w:tcPr>
            <w:tcW w:w="280" w:type="dxa"/>
            <w:vAlign w:val="bottom"/>
            <w:tcBorders>
              <w:left w:val="single" w:sz="8" w:color="CFF0FC"/>
            </w:tcBorders>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(64,743)</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180" w:type="dxa"/>
            <w:vAlign w:val="bottom"/>
          </w:tcPr>
          <w:p>
            <w:pPr>
              <w:spacing w:after="0"/>
              <w:rPr>
                <w:sz w:val="10"/>
                <w:szCs w:val="10"/>
                <w:color w:val="auto"/>
              </w:rPr>
            </w:pPr>
          </w:p>
        </w:tc>
        <w:tc>
          <w:tcPr>
            <w:tcW w:w="5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w w:val="96"/>
              </w:rPr>
              <w:t>63,603,084</w:t>
            </w:r>
          </w:p>
        </w:tc>
        <w:tc>
          <w:tcPr>
            <w:tcW w:w="100" w:type="dxa"/>
            <w:vAlign w:val="bottom"/>
          </w:tcPr>
          <w:p>
            <w:pPr>
              <w:spacing w:after="0"/>
              <w:rPr>
                <w:sz w:val="10"/>
                <w:szCs w:val="10"/>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1,134,802</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58,367,961</w:t>
            </w:r>
          </w:p>
        </w:tc>
        <w:tc>
          <w:tcPr>
            <w:tcW w:w="1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64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5,214,943</w:t>
            </w:r>
          </w:p>
        </w:tc>
        <w:tc>
          <w:tcPr>
            <w:tcW w:w="3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(145,466)</w:t>
            </w:r>
          </w:p>
        </w:tc>
        <w:tc>
          <w:tcPr>
            <w:tcW w:w="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(3,602 )  $</w:t>
            </w:r>
          </w:p>
        </w:tc>
        <w:tc>
          <w:tcPr>
            <w:tcW w:w="5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18,689</w:t>
            </w:r>
          </w:p>
        </w:tc>
        <w:tc>
          <w:tcPr>
            <w:tcW w:w="400" w:type="dxa"/>
            <w:vAlign w:val="bottom"/>
            <w:gridSpan w:val="2"/>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(1,489,467)</w:t>
            </w:r>
          </w:p>
        </w:tc>
        <w:tc>
          <w:tcPr>
            <w:tcW w:w="740" w:type="dxa"/>
            <w:vAlign w:val="bottom"/>
          </w:tcPr>
          <w:p>
            <w:pPr>
              <w:jc w:val="right"/>
              <w:ind w:right="650"/>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w w:val="97"/>
              </w:rPr>
              <w:t>(51)</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(1,474,425)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-1353820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-1336675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-1353820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-1336675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-1353820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-1336675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-1353820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-1336675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-1353820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-1336675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-1353820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-1336675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-1353820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-1336675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-1353820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-1336675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-1353820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-1336675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-111125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-111125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-111125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-111125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-111125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-111125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-111125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-111125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-111125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-111125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-111125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right="8240" w:hanging="512"/>
        <w:spacing w:after="0" w:line="400" w:lineRule="auto"/>
        <w:tabs>
          <w:tab w:leader="none" w:pos="5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Company Information</w:t>
      </w: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17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spacing w:after="0" w:line="16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following summarizes the significant segment expenses reconciled to total selling, general and administrative expenses shown on the consolidated statements of operations and comprehensive loss. Other selling, general, and administrative expenses include facilities, professional fees, marketing, travel and entertainment, depreciation and amortization, and stock-based compensation (see Note 12).</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6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0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payroll</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61,427</w:t>
            </w:r>
          </w:p>
        </w:tc>
        <w:tc>
          <w:tcPr>
            <w:tcW w:w="11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Cloud and software</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154,627</w:t>
            </w:r>
          </w:p>
        </w:tc>
        <w:tc>
          <w:tcPr>
            <w:tcW w:w="11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520" w:right="6000" w:hanging="512"/>
        <w:spacing w:after="0" w:line="450" w:lineRule="auto"/>
        <w:tabs>
          <w:tab w:leader="none" w:pos="5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Principles of Consolidation and Basis of Presentation</w:t>
      </w:r>
    </w:p>
    <w:p>
      <w:pPr>
        <w:spacing w:after="0" w:line="2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normally included in the annual consolidated financial statements prepared in accordance with GAAP have been omitted.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10" w:name="page11"/>
    <w:bookmarkEnd w:id="10"/>
    <w:p>
      <w:pPr>
        <w:ind w:right="40"/>
        <w:spacing w:after="0" w:line="258" w:lineRule="auto"/>
        <w:rPr>
          <w:sz w:val="20"/>
          <w:szCs w:val="20"/>
          <w:color w:val="auto"/>
        </w:rPr>
      </w:pPr>
      <w:r>
        <w:rPr>
          <w:rFonts w:ascii="Times New Roman" w:cs="Times New Roman" w:eastAsia="Times New Roman" w:hAnsi="Times New Roman"/>
          <w:sz w:val="18"/>
          <w:szCs w:val="18"/>
          <w:color w:val="auto"/>
        </w:rPr>
        <w:t>Accordingly, the unaudited interim condensed consolidated financial statements should be read in conjunction with the audited consolidated financial statements and notes included in the Company’s Form 10-K for the year ended December 31, 2024. The unaudited interim condensed 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March 31, 2025 and its results of operations for the three months ended March 31, 2025 and 2024, and cash flows for the three months ended March 31, 2025 and 2024. The condensed consolidated balance sheet at December 31, 2024, was derived from audited annual financial statements but does not contain all of the footnote disclosures from the annual financial statements.</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and marketable equity securities at March 31, 2025 will be sufficient to allow the Company to fund its current operating plan through at least a period of one year from the date of issuance of this Quarterly Report on Form 10-Q.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183"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Other than described in Note 4, there have been no changes to the Company’s significant accounting policies described in the “Notes to the Consolidated Financial Statements” included in the Company’s Annual Report on Form 10-K for the year ended December 31, 2024 that have had a material impact on the Company’s consolidated financial statements and accompanying notes.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the useful lives of property, equipment and intangible assets, and the cash flows used in determining the fair value of acquired intangible assets. Actual results could differ from those estimates.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ASU 2023-09 requires additional disclosures aimed at enhancing the transparency and decision usefulness of income tax disclosures. This ASU is effective for fiscal years beginning after December 15, 2024. The Company does not expect this ASU to have a material impact on the Company's disclosures. The Company plans to adopt the guidance for the fiscal year ending December 31, 2025 on a prospective basis.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22222"/>
        </w:rPr>
        <w:t>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requires retrospective application to all prior periods presented in the financial statements. The Company is currently evaluating the impact of the guidance on the related disclosures.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Concentration of Credit Risk</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Financial instruments that potentially expose the Company to concentrations of credit risk are primarily cash, cash equivalents, restricted cash and accounts receivable. The Company maintains cash balances that may exceed the insured limits by the Federal Deposit Insurance Corporation. The Company has not experienced any losses on its deposits of cash.</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There were no customers that represented a significant portion of the Company's revenues for the three months ended March 31, 2025 and 2024, respectively. One customer accounted for approximately $13.2 million, or 12.3%, of accounts receivable as of </w:t>
      </w:r>
      <w:r>
        <w:rPr>
          <w:rFonts w:ascii="Times New Roman" w:cs="Times New Roman" w:eastAsia="Times New Roman" w:hAnsi="Times New Roman"/>
          <w:sz w:val="18"/>
          <w:szCs w:val="18"/>
          <w:color w:val="000000"/>
        </w:rPr>
        <w:t>March 31, 2024. The amount due from this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customer was not material as of </w:t>
      </w:r>
      <w:r>
        <w:rPr>
          <w:rFonts w:ascii="Times New Roman" w:cs="Times New Roman" w:eastAsia="Times New Roman" w:hAnsi="Times New Roman"/>
          <w:sz w:val="18"/>
          <w:szCs w:val="18"/>
          <w:color w:val="231F20"/>
        </w:rPr>
        <w:t>March 31, 2025.</w:t>
      </w:r>
    </w:p>
    <w:p>
      <w:pPr>
        <w:spacing w:after="0" w:line="280"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genetic counselors,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78"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Financial Accounting Standards Board (“FASB”)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The Company commences revenue recognition when control of these products is transferred to customers in an amount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Genomics and Data and services on the condensed consolidated statements of operations and comprehensive loss, as it believes these best depict how the nature, amount, timing and uncertainty of revenue and cash flows are affected by economic factors.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Genomics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$193.8 million and $102.6 million for the three months ended March 31, 2025 and 2024, respectively.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2" w:name="page13"/>
    <w:bookmarkEnd w:id="12"/>
    <w:p>
      <w:pPr>
        <w:ind w:firstLine="509"/>
        <w:spacing w:after="0" w:line="254"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$181.5 million and $93.4 million for the three months ended March 31, 2025 and 2024, respectively.</w:t>
      </w:r>
    </w:p>
    <w:p>
      <w:pPr>
        <w:spacing w:after="0" w:line="18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$12.3 million and $9.2 million for the three months ended March 31, 2025 and 2024,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Data and services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The Company’s two product offerings are as follows: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8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The primary Insights contract types are as follows:</w:t>
      </w:r>
    </w:p>
    <w:p>
      <w:pPr>
        <w:spacing w:after="0" w:line="52" w:lineRule="exact"/>
        <w:rPr>
          <w:sz w:val="20"/>
          <w:szCs w:val="20"/>
          <w:color w:val="auto"/>
        </w:rPr>
      </w:pPr>
    </w:p>
    <w:p>
      <w:pPr>
        <w:ind w:left="1020" w:right="3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w:t>
      </w:r>
      <w:r>
        <w:rPr>
          <w:rFonts w:ascii="Times New Roman" w:cs="Times New Roman" w:eastAsia="Times New Roman" w:hAnsi="Times New Roman"/>
          <w:sz w:val="18"/>
          <w:szCs w:val="18"/>
          <w:color w:val="auto"/>
        </w:rPr>
        <w:t>– Customer licenses a specific dataset of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71" w:lineRule="exact"/>
        <w:rPr>
          <w:rFonts w:ascii="Times New Roman" w:cs="Times New Roman" w:eastAsia="Times New Roman" w:hAnsi="Times New Roman"/>
          <w:sz w:val="18"/>
          <w:szCs w:val="18"/>
          <w:color w:val="auto"/>
        </w:rPr>
      </w:pPr>
    </w:p>
    <w:p>
      <w:pPr>
        <w:jc w:val="both"/>
        <w:ind w:left="1020" w:right="4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w:t>
      </w:r>
      <w:r>
        <w:rPr>
          <w:rFonts w:ascii="Times New Roman" w:cs="Times New Roman" w:eastAsia="Times New Roman" w:hAnsi="Times New Roman"/>
          <w:sz w:val="18"/>
          <w:szCs w:val="18"/>
          <w:color w:val="auto"/>
        </w:rPr>
        <w:t>– Customer licenses an interchangeable maximum number of de-identified records, and the Company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service as a right to access license and one performance obligation. Revenue is recognized as access to the dataset is provided, ratably over-time, with the measure of progress time-based.</w:t>
      </w:r>
    </w:p>
    <w:p>
      <w:pPr>
        <w:spacing w:after="0" w:line="65" w:lineRule="exact"/>
        <w:rPr>
          <w:rFonts w:ascii="Times New Roman" w:cs="Times New Roman" w:eastAsia="Times New Roman" w:hAnsi="Times New Roman"/>
          <w:sz w:val="18"/>
          <w:szCs w:val="18"/>
          <w:color w:val="auto"/>
        </w:rPr>
      </w:pPr>
    </w:p>
    <w:p>
      <w:pPr>
        <w:ind w:left="1020" w:right="36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w:t>
      </w:r>
      <w:r>
        <w:rPr>
          <w:rFonts w:ascii="Times New Roman" w:cs="Times New Roman" w:eastAsia="Times New Roman" w:hAnsi="Times New Roman"/>
          <w:sz w:val="18"/>
          <w:szCs w:val="18"/>
          <w:color w:val="auto"/>
        </w:rPr>
        <w:t>– 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w:t>
      </w:r>
      <w:r>
        <w:rPr>
          <w:rFonts w:ascii="Times New Roman" w:cs="Times New Roman" w:eastAsia="Times New Roman" w:hAnsi="Times New Roman"/>
          <w:sz w:val="18"/>
          <w:szCs w:val="18"/>
          <w:color w:val="auto"/>
        </w:rPr>
        <w:t>– 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3" w:name="page14"/>
    <w:bookmarkEnd w:id="13"/>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Insights products of $49.5 million and $31.3 million for the three months ended March 31, 2025 and 2024, respectively.</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Tempus Compass LLC, a subsidiary of the Company, is a contract research organization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Trials products of $9.7 million and $11.3 million for the three months ended March 31, 2025 and 2024, respectively.</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$61.9 million and $43.3 million for the three months ended March 31, 2025 and 2024, respectively.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Multi-year Contract Performance Obligations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$194.3 million as of March 31, 2025, of which the Company expects to recognize approximately 59% as revenue over the next year, and the remaining 29% and 12% of its remaining performance obligations as revenue in years two and three,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March 31, 2025 and December 31, 2024 included contract assets of $5.2 million and $4.1 million, respectively.</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 expenses and other current assets. The warrant was terminated for no consideration on December 31,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4" w:name="page15"/>
    <w:bookmarkEnd w:id="14"/>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Commercialization and Reference Laboratory Agreement with Personalis, Inc. (“Personalis”), which was subsequently amended in August 2024. The Company will pay up to $12.0 million to Personalis over three years as certain milestones are met, $10.0 million of which has been paid as of March 31, 2025. These payments are treated as contract assets and amortized into revenue over the life of the contract. Contract asset balances are offset by deferred revenue generated from receipt of warrants for Personalis common stock (see Note 16). As of March 31, 2025 and December 31, 2024, there was $3.8 million and $3.0 million, respectively, of net contract assets related to this agreement recorded in Prepaid expenses and other current assets,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Services product offerings and timing of 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$26.9 million and $11.1 million during the three months ended March 31, 2025 and 2024, respectively, that was included in the corresponding deferred revenue balance at the beginning of the periods.</w:t>
      </w:r>
    </w:p>
    <w:p>
      <w:pPr>
        <w:spacing w:after="0" w:line="291" w:lineRule="exact"/>
        <w:rPr>
          <w:sz w:val="20"/>
          <w:szCs w:val="20"/>
          <w:color w:val="auto"/>
        </w:rPr>
      </w:pPr>
    </w:p>
    <w:p>
      <w:pPr>
        <w:ind w:left="520" w:right="8340" w:hanging="512"/>
        <w:spacing w:after="0" w:line="377" w:lineRule="auto"/>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Ambry</w:t>
      </w:r>
    </w:p>
    <w:p>
      <w:pPr>
        <w:spacing w:after="0" w:line="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spacing w:after="0" w:line="1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incurred $5.7 million of transaction costs related to the Ambry Acquisition, of which $3.0 million were recorded within Selling, general and administrative expense in the consolidated statement of operations during the three months ended March 31,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Ambry Acquisition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receivable</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7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Developed technology - biotech</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w:t>
            </w:r>
          </w:p>
        </w:tc>
        <w:tc>
          <w:tcPr>
            <w:tcW w:w="27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acquired and liabilities assumed</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Borders>
              <w:top w:val="single" w:sz="8" w:color="CFF0FC"/>
            </w:tcBorders>
          </w:tcPr>
          <w:p>
            <w:pPr>
              <w:spacing w:after="0"/>
              <w:rPr>
                <w:sz w:val="17"/>
                <w:szCs w:val="17"/>
                <w:color w:val="auto"/>
              </w:rPr>
            </w:pPr>
          </w:p>
        </w:tc>
        <w:tc>
          <w:tcPr>
            <w:tcW w:w="270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 consideration</w:t>
            </w:r>
          </w:p>
        </w:tc>
        <w:tc>
          <w:tcPr>
            <w:tcW w:w="2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acquisition price</w:t>
            </w:r>
          </w:p>
        </w:tc>
        <w:tc>
          <w:tcPr>
            <w:tcW w:w="31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-3942715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-1731010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-607695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-591185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w:t>
      </w:r>
    </w:p>
    <w:p>
      <w:pPr>
        <w:spacing w:after="0" w:line="26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and discount rate.</w:t>
      </w:r>
    </w:p>
    <w:p>
      <w:pPr>
        <w:spacing w:after="0" w:line="243"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and expenses, royalty rate, and discount rate. In addition, the valuation of developed technology assets included assumed obsolescence rates.</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As described, the valuation of identifiable intangible assets acquired required various estimates and assumptions. Accordingly, the purchase price adjustments are preliminary and are subject to further adjustments as additional information becomes available and additional analyses are performed, and such further adjustments may be material. The Company's management believes the fair values recognized for the assets acquired and liabilities assumed are based on reasonable estimates and assumptions.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8" w:right="399" w:bottom="1440" w:gutter="0" w:footer="0" w:header="0"/>
        </w:sectPr>
      </w:pPr>
    </w:p>
    <w:bookmarkStart w:id="16" w:name="page17"/>
    <w:bookmarkEnd w:id="16"/>
    <w:p>
      <w:pPr>
        <w:spacing w:after="0" w:line="3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Estimated useful lives of the identifiable intangible assets acquired are as follows:</w:t>
            </w:r>
          </w:p>
        </w:tc>
        <w:tc>
          <w:tcPr>
            <w:tcW w:w="1580" w:type="dxa"/>
            <w:vAlign w:val="bottom"/>
          </w:tcPr>
          <w:p>
            <w:pPr>
              <w:spacing w:after="0"/>
              <w:rPr>
                <w:sz w:val="20"/>
                <w:szCs w:val="20"/>
                <w:color w:val="auto"/>
              </w:rPr>
            </w:pPr>
          </w:p>
        </w:tc>
      </w:tr>
      <w:tr>
        <w:trPr>
          <w:trHeight w:val="432"/>
        </w:trPr>
        <w:tc>
          <w:tcPr>
            <w:tcW w:w="876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09"/>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 - biotech</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60" w:lineRule="exact"/>
        <w:rPr>
          <w:sz w:val="20"/>
          <w:szCs w:val="20"/>
          <w:color w:val="auto"/>
        </w:rPr>
      </w:pPr>
    </w:p>
    <w:p>
      <w:pPr>
        <w:jc w:val="both"/>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Company's operations as though the acquisition had occurred as of the beginning of the comparable period, January 1, 2024 (in thousands):</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5"/>
        </w:trPr>
        <w:tc>
          <w:tcPr>
            <w:tcW w:w="40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288,660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202,179</w:t>
            </w:r>
          </w:p>
        </w:tc>
        <w:tc>
          <w:tcPr>
            <w:tcW w:w="120" w:type="dxa"/>
            <w:vAlign w:val="bottom"/>
            <w:shd w:val="clear" w:color="auto" w:fill="CFF0FC"/>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(124,344)</w:t>
            </w:r>
          </w:p>
        </w:tc>
        <w:tc>
          <w:tcPr>
            <w:tcW w:w="4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(51,508)</w:t>
            </w:r>
          </w:p>
        </w:tc>
      </w:tr>
    </w:tbl>
    <w:p>
      <w:pPr>
        <w:spacing w:after="0" w:line="26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unaudited pro forma financial information for the three months ended March 31, 2024 combines the Company's financial results and the historical results of Ambry for the three months ended March 31, 2025 and March 31, 2024. Included in these adjustments is a $46.2 million tax benefit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w:t>
      </w:r>
    </w:p>
    <w:p>
      <w:pPr>
        <w:spacing w:after="0" w:line="1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Ambry contributed $63.5 million in net revenue within Genomics revenue and $5.5 million of net income to the consolidated Tempus results.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ASC 805, Business Combinations ("ASC 805"), the Company accounted for the Ambry Acquisition as a business combination under the acquisition method of accounting. The valuation of assets acquired and liabilities assumed has not been finalized as of March 31, 2025. While all amounts remain subject to adjustments, the areas subject to the most significant potential adjustments are intangible assets and deferred income taxes. As a result, the Company recorded preliminary estimates for the fair value of assets acquired and liabilities assumed as of the Closing Date.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Deep 6</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March 11, 2025, the Company acquired all of the issued and outstanding interests of Deep 6 AI, Inc. ("Deep 6"), a Delaware corporation,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acquisition resulted in goodwill of $21.1 million. The aggregate acquisition date fair value of consideration for the Deep 6 acquisition totaled $17.4 million. Consideration consisted of $4.3 million of cash and $13.1 million of Class A common stock. In accordance with the terms of the agreement, $0.8 million in equity consideration was held back and is payable within five business days of March 11, 2026. The $0.8 million holdback liability is recognized within Other current liabilities.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SEngine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ind w:right="20"/>
        <w:spacing w:after="0" w:line="261" w:lineRule="auto"/>
        <w:rPr>
          <w:sz w:val="20"/>
          <w:szCs w:val="20"/>
          <w:color w:val="auto"/>
        </w:rPr>
      </w:pPr>
      <w:r>
        <w:rPr>
          <w:rFonts w:ascii="Times New Roman" w:cs="Times New Roman" w:eastAsia="Times New Roman" w:hAnsi="Times New Roman"/>
          <w:sz w:val="18"/>
          <w:szCs w:val="18"/>
          <w:color w:val="auto"/>
        </w:rPr>
        <w:t>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Mpirik</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296" w:lineRule="exact"/>
        <w:rPr>
          <w:sz w:val="20"/>
          <w:szCs w:val="20"/>
          <w:color w:val="auto"/>
        </w:rPr>
      </w:pPr>
    </w:p>
    <w:p>
      <w:pPr>
        <w:ind w:left="520" w:right="7860" w:hanging="512"/>
        <w:spacing w:after="0" w:line="400" w:lineRule="auto"/>
        <w:tabs>
          <w:tab w:leader="none" w:pos="5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summarizes property and equipment, net as of March 31, 2025 and December 31, 2024 (in thousands):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110,011</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46,809</w:t>
            </w:r>
          </w:p>
        </w:tc>
        <w:tc>
          <w:tcPr>
            <w:tcW w:w="12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206,816</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163,453</w:t>
            </w:r>
          </w:p>
        </w:tc>
        <w:tc>
          <w:tcPr>
            <w:tcW w:w="120" w:type="dxa"/>
            <w:vAlign w:val="bottom"/>
            <w:tcBorders>
              <w:top w:val="single" w:sz="8" w:color="CFF0FC"/>
            </w:tcBorders>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(113,280)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(105,397)</w:t>
            </w:r>
          </w:p>
        </w:tc>
      </w:tr>
      <w:tr>
        <w:trPr>
          <w:trHeight w:val="20"/>
        </w:trPr>
        <w:tc>
          <w:tcPr>
            <w:tcW w:w="6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-453390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-453390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is classified as follows in the accompanying condensed consolidated statements of operations for the three months ended March 31, 2025 and 2024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genomics</w:t>
            </w:r>
          </w:p>
        </w:tc>
        <w:tc>
          <w:tcPr>
            <w:tcW w:w="1300" w:type="dxa"/>
            <w:vAlign w:val="bottom"/>
            <w:gridSpan w:val="2"/>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580" w:type="dxa"/>
            <w:vAlign w:val="bottom"/>
            <w:gridSpan w:val="2"/>
            <w:shd w:val="clear" w:color="auto" w:fill="CFF0FC"/>
          </w:tcPr>
          <w:p>
            <w:pPr>
              <w:jc w:val="right"/>
              <w:ind w:right="114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data and services</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0" w:type="dxa"/>
            <w:vAlign w:val="bottom"/>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8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FF0FC"/>
          </w:tcPr>
          <w:p>
            <w:pPr>
              <w:spacing w:after="0"/>
              <w:rPr>
                <w:sz w:val="18"/>
                <w:szCs w:val="18"/>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depreciation</w:t>
            </w: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2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right"/>
              <w:ind w:right="11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as of March 31, 2025 and December 31, 2024,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employer payroll tax related to stock-based compensation</w:t>
            </w: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cloud storage costs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expenses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-1079500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-1079500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8" w:name="page19"/>
    <w:bookmarkEnd w:id="18"/>
    <w:p>
      <w:pPr>
        <w:ind w:left="520" w:right="7960" w:hanging="512"/>
        <w:spacing w:after="0" w:line="378" w:lineRule="auto"/>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INTANGIBLES </w:t>
      </w:r>
      <w:r>
        <w:rPr>
          <w:rFonts w:ascii="Times New Roman" w:cs="Times New Roman" w:eastAsia="Times New Roman" w:hAnsi="Times New Roman"/>
          <w:sz w:val="18"/>
          <w:szCs w:val="18"/>
          <w:i w:val="1"/>
          <w:iCs w:val="1"/>
          <w:color w:val="auto"/>
        </w:rPr>
        <w:t>Goodwill</w:t>
      </w: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During the three months ended March 31, 2025, goodwill of $252.3 million was recorded in connection with the Ambry Acquisition and Deep 6 Acquisition. There were no goodwill additions for the three months ended March 31, 2024. The Company recorded no impairment loss during the three months ended March 31, 2025 and 2024.</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an additional $234.0 million in customer relationships, $114.0 million in developed technology - biotech, $33.0 million in trade names, $18.0 million in developed technology - software, and $1.3 million in capitalized software. During the three months ended March 31, 2024, the Company did not record any additions in intangible assets.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impairment charges recognized related to intangible assets during the three months ended March 31, 2025 and 2024,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March 31, 2025 and December 31, 2024 (in thousands):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1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254,550</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232,755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460" w:type="dxa"/>
            <w:vAlign w:val="bottom"/>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 - biotech</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 - software</w:t>
            </w: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448,877</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399,544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48,579</w:t>
            </w:r>
          </w:p>
        </w:tc>
        <w:tc>
          <w:tcPr>
            <w:tcW w:w="4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-170815</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-170815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$12.5 million and $2.9 million for the three months ended March 31, 2025 and 2024, respectively, and is recorded in cost of revenues, research and development, or selling, general and administrative expense, depending on use of the asset. The weighted average life of the Company’s intangibles is approximately six years.</w:t>
      </w:r>
    </w:p>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estimated future amortization expense related to intangible assets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64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57,403</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9"/>
        </w:trPr>
        <w:tc>
          <w:tcPr>
            <w:tcW w:w="46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64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399,525</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629"/>
        </w:trPr>
        <w:tc>
          <w:tcPr>
            <w:tcW w:w="460" w:type="dxa"/>
            <w:vAlign w:val="bottom"/>
          </w:tcPr>
          <w:p>
            <w:pPr>
              <w:spacing w:after="0"/>
              <w:rPr>
                <w:sz w:val="24"/>
                <w:szCs w:val="24"/>
                <w:color w:val="auto"/>
              </w:rPr>
            </w:pPr>
          </w:p>
        </w:tc>
        <w:tc>
          <w:tcPr>
            <w:tcW w:w="2920" w:type="dxa"/>
            <w:vAlign w:val="bottom"/>
            <w:tcBorders>
              <w:top w:val="single" w:sz="8" w:color="CFF0FC"/>
            </w:tcBorders>
          </w:tcPr>
          <w:p>
            <w:pPr>
              <w:spacing w:after="0"/>
              <w:rPr>
                <w:sz w:val="24"/>
                <w:szCs w:val="24"/>
                <w:color w:val="auto"/>
              </w:rPr>
            </w:pPr>
          </w:p>
        </w:tc>
        <w:tc>
          <w:tcPr>
            <w:tcW w:w="4500" w:type="dxa"/>
            <w:vAlign w:val="bottom"/>
            <w:tcBorders>
              <w:top w:val="single" w:sz="8" w:color="CFF0FC"/>
            </w:tcBorders>
          </w:tcPr>
          <w:p>
            <w:pPr>
              <w:jc w:val="right"/>
              <w:ind w:right="207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-933450</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-916305</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 w:name="page20"/>
    <w:bookmarkEnd w:id="19"/>
    <w:p>
      <w:pPr>
        <w:ind w:left="520" w:right="9240" w:hanging="512"/>
        <w:spacing w:after="0" w:line="378"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 SB Tempus</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spacing w:after="0" w:line="183"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maximum exposure to loss from SB Tempus is equal to the carrying value of the Company's investment. As of March 31, 2025, the carrying value of the investment in SB Tempus was $94.2 million. The Company's share of losses from SB Tempus are recorded in other (expense) income, net.</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services revenue over the term of the license subscription which ends on March 31, 2026. For the three months ended March 31, 2025, the Company recognized $6.2 million in Data and services revenue related to the Data License Agreement.</w:t>
      </w:r>
    </w:p>
    <w:p>
      <w:pPr>
        <w:spacing w:after="0" w:line="200" w:lineRule="exact"/>
        <w:rPr>
          <w:sz w:val="20"/>
          <w:szCs w:val="20"/>
          <w:color w:val="auto"/>
        </w:rPr>
      </w:pPr>
    </w:p>
    <w:p>
      <w:pPr>
        <w:spacing w:after="0" w:line="20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(expense) income, net over three years, based on the estimated time for SB Tempus' systems and technologies to diverge from the Company's. For the three months ended March 31, 2025, the Company recognized $4.0 million related to the IP License Agreement.</w:t>
      </w:r>
    </w:p>
    <w:p>
      <w:pPr>
        <w:spacing w:after="0" w:line="287" w:lineRule="exact"/>
        <w:rPr>
          <w:sz w:val="20"/>
          <w:szCs w:val="20"/>
          <w:color w:val="auto"/>
        </w:rPr>
      </w:pPr>
    </w:p>
    <w:p>
      <w:pPr>
        <w:ind w:left="520" w:right="7280" w:hanging="512"/>
        <w:spacing w:after="0" w:line="378" w:lineRule="auto"/>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three months ended March 31, 2025 and 2024, the Company recognized data licensing and cloud computing expenses of $14.2 million and $10.8 million, respectively, related to non-cancelable arrangements.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future payments under these contractual obligations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44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44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44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4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8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-1370965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-1079500</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material such matters as of and for the three months ended March 31, 2025 and 2024.</w:t>
      </w:r>
    </w:p>
    <w:p>
      <w:pPr>
        <w:spacing w:after="0" w:line="26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primarily for the rent of office and lab space, with expirations at various dates through 2032.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total lease costs for the three months ended March 31, 2025 and 2024 are as follows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7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4,115</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439"/>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term and discount rate as of March 31, 2025 and 2024 are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100" w:type="dxa"/>
            <w:vAlign w:val="bottom"/>
          </w:tcPr>
          <w:p>
            <w:pPr>
              <w:spacing w:after="0"/>
              <w:rPr>
                <w:sz w:val="24"/>
                <w:szCs w:val="24"/>
                <w:color w:val="auto"/>
              </w:rPr>
            </w:pPr>
          </w:p>
        </w:tc>
        <w:tc>
          <w:tcPr>
            <w:tcW w:w="17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-1176655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-1159510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-1322705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-1176655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-1159510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-1322705</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of March 31, 2025, the future payments under operating leases for each of the next five years and thereafter are as follows (in thousands):</w:t>
      </w:r>
    </w:p>
    <w:p>
      <w:pPr>
        <w:sectPr>
          <w:pgSz w:w="11900" w:h="16838" w:orient="portrait"/>
          <w:cols w:equalWidth="0" w:num="1">
            <w:col w:w="11140"/>
          </w:cols>
          <w:pgMar w:left="320" w:top="1400" w:right="4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55764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2029</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163195"/>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minimum lease payments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Present value of net minimum lease payments</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Less: 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162560"/>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long-term lease liabilities</w:t>
      </w:r>
    </w:p>
    <w:p>
      <w:pPr>
        <w:spacing w:after="0" w:line="370" w:lineRule="exact"/>
        <w:rPr>
          <w:sz w:val="20"/>
          <w:szCs w:val="20"/>
          <w:color w:val="auto"/>
        </w:rPr>
      </w:pPr>
    </w:p>
    <w:p>
      <w:pPr>
        <w:ind w:left="520" w:right="5392" w:hanging="512"/>
        <w:spacing w:after="0" w:line="378" w:lineRule="auto"/>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1055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11" w:lineRule="exact"/>
        <w:rPr>
          <w:sz w:val="20"/>
          <w:szCs w:val="20"/>
          <w:color w:val="auto"/>
        </w:rPr>
      </w:pPr>
    </w:p>
    <w:p>
      <w:pPr>
        <w:ind w:left="1228" w:hanging="1228"/>
        <w:spacing w:after="0"/>
        <w:tabs>
          <w:tab w:leader="none" w:pos="1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12,531</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11,393</w:t>
      </w:r>
    </w:p>
    <w:p>
      <w:pPr>
        <w:spacing w:after="0" w:line="9"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11,798</w:t>
      </w:r>
    </w:p>
    <w:p>
      <w:pPr>
        <w:spacing w:after="0" w:line="9"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12,207</w:t>
      </w:r>
    </w:p>
    <w:p>
      <w:pPr>
        <w:spacing w:after="0" w:line="9" w:lineRule="exact"/>
        <w:rPr>
          <w:rFonts w:ascii="Times New Roman" w:cs="Times New Roman" w:eastAsia="Times New Roman" w:hAnsi="Times New Roman"/>
          <w:sz w:val="18"/>
          <w:szCs w:val="18"/>
          <w:color w:val="auto"/>
        </w:rPr>
      </w:pPr>
    </w:p>
    <w:p>
      <w:pPr>
        <w:ind w:left="1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7,428</w:t>
      </w:r>
    </w:p>
    <w:p>
      <w:pPr>
        <w:spacing w:after="0" w:line="20"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12,193</w:t>
      </w:r>
    </w:p>
    <w:p>
      <w:pPr>
        <w:spacing w:after="0" w:line="9"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67,550</w:t>
      </w:r>
    </w:p>
    <w:p>
      <w:pPr>
        <w:spacing w:after="0" w:line="44"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10,563</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56,987</w:t>
      </w:r>
    </w:p>
    <w:p>
      <w:pPr>
        <w:spacing w:after="0" w:line="22" w:lineRule="exact"/>
        <w:rPr>
          <w:rFonts w:ascii="Times New Roman" w:cs="Times New Roman" w:eastAsia="Times New Roman" w:hAnsi="Times New Roman"/>
          <w:sz w:val="18"/>
          <w:szCs w:val="18"/>
          <w:color w:val="auto"/>
        </w:rPr>
      </w:pPr>
    </w:p>
    <w:p>
      <w:pPr>
        <w:ind w:left="1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-577850</wp:posOffset>
            </wp:positionV>
            <wp:extent cx="11055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-269240</wp:posOffset>
            </wp:positionV>
            <wp:extent cx="11055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1055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1" w:lineRule="exact"/>
        <w:rPr>
          <w:sz w:val="20"/>
          <w:szCs w:val="20"/>
          <w:color w:val="auto"/>
        </w:rPr>
      </w:pPr>
    </w:p>
    <w:p>
      <w:pPr>
        <w:ind w:left="1228" w:hanging="1228"/>
        <w:spacing w:after="0"/>
        <w:tabs>
          <w:tab w:leader="none" w:pos="12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47,567</w:t>
      </w:r>
    </w:p>
    <w:p>
      <w:pPr>
        <w:spacing w:after="0" w:line="1058" w:lineRule="exact"/>
        <w:rPr>
          <w:sz w:val="20"/>
          <w:szCs w:val="20"/>
          <w:color w:val="auto"/>
        </w:rPr>
      </w:pPr>
    </w:p>
    <w:p>
      <w:pPr>
        <w:sectPr>
          <w:pgSz w:w="11900" w:h="16838" w:orient="portrait"/>
          <w:cols w:equalWidth="0" w:num="2">
            <w:col w:w="8232" w:space="720"/>
            <w:col w:w="2188"/>
          </w:cols>
          <w:pgMar w:left="320" w:top="1400" w:right="43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Prior to the initial public offering of our Class A common stock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0" w:right="439" w:bottom="1440" w:gutter="0" w:footer="0" w:header="0"/>
          <w:type w:val="continuous"/>
        </w:sectPr>
      </w:pPr>
    </w:p>
    <w:bookmarkStart w:id="21" w:name="page22"/>
    <w:bookmarkEnd w:id="21"/>
    <w:p>
      <w:pPr>
        <w:ind w:right="120"/>
        <w:spacing w:after="0" w:line="261" w:lineRule="auto"/>
        <w:rPr>
          <w:sz w:val="20"/>
          <w:szCs w:val="20"/>
          <w:color w:val="auto"/>
        </w:rPr>
      </w:pPr>
      <w:r>
        <w:rPr>
          <w:rFonts w:ascii="Times New Roman" w:cs="Times New Roman" w:eastAsia="Times New Roman" w:hAnsi="Times New Roman"/>
          <w:sz w:val="18"/>
          <w:szCs w:val="18"/>
          <w:color w:val="auto"/>
        </w:rPr>
        <w:t>common stock. In April 2024, the Company increased the number of authorized shares of Class A common stock to 204,590,500 in conjunction with the Series G-5 Preferred stock financing (see Note 11, Redeemable Convertible Preferred Stock). In connection with the IPO, the Restated Certificate became effective, which authorized 1,000,000,000 shares of Class A common stock, 5,500,000 shares of Class B common stock, and 20,000,000 shares of preferred stock.</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Class A common stock and Class B common stock are collectively referred to as “Common Stock” throughout the notes to these unaudited interim condensed consolidated financial statements unless otherwise noted.</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w:t>
      </w:r>
    </w:p>
    <w:p>
      <w:pPr>
        <w:spacing w:after="0" w:line="22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Under the Restated Certificate,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w:t>
      </w:r>
    </w:p>
    <w:p>
      <w:pPr>
        <w:spacing w:after="0" w:line="1" w:lineRule="exact"/>
        <w:rPr>
          <w:sz w:val="20"/>
          <w:szCs w:val="20"/>
          <w:color w:val="auto"/>
        </w:rPr>
      </w:pPr>
    </w:p>
    <w:p>
      <w:pPr>
        <w:ind w:right="60" w:firstLine="8"/>
        <w:spacing w:after="0" w:line="253"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that is no less than 90 days and no more than 150 days following the twenty-year anniversary of the filing of the Restated Certificate, which was filed with the Secretary of State of the State of Delaware on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12, Stock-Based Compensation).</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warrant was automatically cancelled and terminated for no consideration as AstraZeneca declined to extend its financial commitment before December 31, 2024. See Note 16 for further information.</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8, 2023, the Company issued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jc w:val="both"/>
        <w:ind w:right="320"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AKESOgen, Inc., which the Company acquired in December 2019. These shares were accounted for as treasury stock. The Company records treasury stock at cost.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22" w:name="page23"/>
    <w:bookmarkEnd w:id="22"/>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66,465 shares of Series G-3 convertible preferred stock and 10,666 shares of Series G-4 convertible preferred stock as payment of paid-in-kind dividends.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April 2024, the Company issued 3,489,981 shares of Series G-5 convertible preferred stock (“Series G-5 Preferred”) for aggregate proceeds of $200.0 million. Each share has a par value of $0.0001. The Company will use the proceeds for working capital and general corporate purposes.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all of the Company’s then-outstanding shares of redeemable convertible preferred stock and accrued but unpaid dividends were automatically converted into 71,976,178 shares of Class A voting common stock and 5,043,789 shares of Class B voting common stock.</w:t>
      </w:r>
    </w:p>
    <w:p>
      <w:pPr>
        <w:spacing w:after="0" w:line="306" w:lineRule="exact"/>
        <w:rPr>
          <w:sz w:val="20"/>
          <w:szCs w:val="20"/>
          <w:color w:val="auto"/>
        </w:rPr>
      </w:pPr>
    </w:p>
    <w:p>
      <w:pPr>
        <w:ind w:left="520" w:right="7900" w:hanging="512"/>
        <w:spacing w:after="0" w:line="377" w:lineRule="auto"/>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spacing w:after="0" w:line="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2015, the Company adopted the Tempus AI, Inc. 2015 Stock Plan (the “2015 Plan”), which has been amended and restated numerous times to increase the aggregate shares authorized to be issued to employees, consultants, and directors of the Company. As of December 31, 2023, there were 28,115,750 shares authorized under the 2015 Plan.</w:t>
      </w:r>
    </w:p>
    <w:p>
      <w:pPr>
        <w:spacing w:after="0" w:line="1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After the IPO, no further grants will be made under the 2015 Stock Plan.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awards (“PSUs”) and other awards. The original maximum number of shares of Class A common stock that may be issued under the 2024 Plan was 7,430,000 shares of the Company’s Class A common stock and automatically increases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 As of March 31, 2025, there were 7,924,236 shares of the Company's Class A common stock that may be issued under the 2024 Plan,</w:t>
      </w:r>
    </w:p>
    <w:p>
      <w:pPr>
        <w:spacing w:after="0" w:line="30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granted 222,293 RSUs during the three months ended March 31, 2025. The Company granted 26,059 RSAs during the three months ended March 31, 2025, with a weighted-average grant date fair value of $45.58. Stock-based compensation on these awards is recognized on a straight-line basis over the requisite service periods of the awards. The Company recognized an immaterial amount of stock-based compensation related to the RSAs during the three months ended March 31, 2025.</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is classified as follows in the accompanying condensed consolidated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(in thousands):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3" w:name="page24"/>
    <w:bookmarkEnd w:id="23"/>
    <w:p>
      <w:pPr>
        <w:spacing w:after="0" w:line="2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0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6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46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(the “Original Credit Agreement”) with Ares Capital Corporation (“Ares”) for a senior secured loan (the “Term Loan Facility”), in an original principal amount of $175.0 million, less original issue discount of $4.4 million and deferred financing fees of $2.6 million. The Credit Agreement was amended on April 25, 2023 to, among other things, increase the original principal amount of the Term Loan Facility by $50.0 million, less original issue discount of $1.3 million, and was further amended on October 11, 2023 to, among other things, increase the original principal amount of the Term Loan Facility by $35.0 million, less original issue discount of $0.9 million. On February 3, 2025, the Company entered into the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Additional Term Loan Facility and the Revolving Credit Facility mature on February 3, 2030. The Term Loan Facility matures in September 2027. The Term Loan Facilities and Revolving Credit Facility (together, the “Credit Facilities”) are subject to quarterly interest payments for Base Rate loans and at the end of the applicable interest rate period for Term Secured Overnight Financing Rate (“SOFR”) loans. The Amendment Agreement was accounted for as a debt modification.</w:t>
      </w:r>
    </w:p>
    <w:p>
      <w:pPr>
        <w:spacing w:after="0" w:line="196"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w:t>
      </w:r>
    </w:p>
    <w:p>
      <w:pPr>
        <w:spacing w:after="0" w:line="1" w:lineRule="exact"/>
        <w:rPr>
          <w:sz w:val="20"/>
          <w:szCs w:val="20"/>
          <w:color w:val="auto"/>
        </w:rPr>
      </w:pPr>
    </w:p>
    <w:p>
      <w:pPr>
        <w:ind w:firstLine="8"/>
        <w:spacing w:after="0" w:line="25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2.00%, or a SOFR Borrowing, which bears interest based on Term SOFR. Additionally, the Company may make either a PIK election or a Cash election. Pursuant to the Original Credit Agreement, as amended by the Amendment Agreement (the “Credit Agreement”), through December 31, 2025, interest on the Term Loans accrues at a per annum rate as follows: (i) for any interest period for which the Company elects to pay interest in cash,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6.25%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7.25%, respectively, and (ii) for any interest period for which the Company elects to pay interest in kind,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 respectively, and the paid-in-kind interest rate will be 3.25%.</w:t>
      </w:r>
    </w:p>
    <w:p>
      <w:pPr>
        <w:spacing w:after="0" w:line="1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From and after January 1, 2026, interest on the Term Loans accrues at a per annum rate as follows: (i) for any interest period for which the Company elects to pay interest in cash,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5.75% to 6.75%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6.75% to 7.75%,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4% or 4.5%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5% or 5.5%, respectively, and the paid-in-kind interest rate will be 3.25%. The applicable margin for any interest period for which the Company elects to pay interest in cash will be based on a consolidated first lien leverage ratio and whether the Company has satisfied certain junior capital raising requirements. The applicable margin for any interest period for which the Company elects to pay interest in kind will be based on whether the Company has satisfied certain junior capital raising requirements.</w:t>
      </w:r>
    </w:p>
    <w:p>
      <w:pPr>
        <w:spacing w:after="0" w:line="190"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Interest on the Revolving Loans accrues interest at a per annum rate equal to either,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2.75% or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3.75% At all times prior to the termination of the Revolving Credit Facility, to the extent that, on any date, the outstanding</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ind w:right="60"/>
        <w:spacing w:after="0" w:line="258" w:lineRule="auto"/>
        <w:rPr>
          <w:sz w:val="20"/>
          <w:szCs w:val="20"/>
          <w:color w:val="auto"/>
        </w:rPr>
      </w:pPr>
      <w:r>
        <w:rPr>
          <w:rFonts w:ascii="Times New Roman" w:cs="Times New Roman" w:eastAsia="Times New Roman" w:hAnsi="Times New Roman"/>
          <w:sz w:val="18"/>
          <w:szCs w:val="18"/>
          <w:color w:val="auto"/>
        </w:rPr>
        <w:t>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(the “Minimum Revolving Interest Amount”). A commitment fee will accrue on the unused amount of the Revolving Credit Facility at a per annum rate of 0.50%; provided, however, that no such fee shall accrue to the extent the Company is being charged the Minimum Revolving Interest Amount.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The Company was in compliance with all covenants in the Credit Agreement as of March 31, 2025.</w:t>
      </w:r>
    </w:p>
    <w:p>
      <w:pPr>
        <w:spacing w:after="0" w:line="19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certain of its subsidiaries and secured by substantially all of the Company’s and such subsidiaries’ assets.</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original issue discount of $10.5 million and deferred financing fees of $2.6 million on the Term Loans are amortized over the term of the underlying debt and unamortized amounts have been offset against long-term debt in the consolidated balance sheets. As of March 31, 2025 and December 31, 2024, the unamortized original issue discount was $7.3 million and $3.8 million, respectively, and the unamortized deferred financing fees were $1.3 million and $1.4 million, respectively. The original issue discount of $2.0 million and deferred financing fees of $1.0 million on the Revolving Credit Facility are amortized over the term of the underlying debt and unamortized amounts are recorded in Investments and other assets in the consolidated balance sheets. As of March 31, 2025, the unamortized original issue discount and deferred financing fees on the Revolving Credit Facility was $1.9 million and $0.9 million, respectively.</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Through March 31, 2025, the Company has not made any principal repayments on the Credit Facilities. During the three months ended March 31, 2025, the Company made $10.8 million in interest payments.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interest expense of $12.5 million related to the Term Loans, which represented an effective interest rate of 3.1%, during the three months ended March 31, 2025. The Company recognized interest expense of $9.1 million related to the Term Loan Facility, which represented an effective interest rate of 3.4%, during the three months ended March 31, 2024. The Company recognized interest expense of $1.3 million related to the Revolving Credit Facility, which represented an effective interest rate of 1.3% during the three months ended March 31,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22, 2025, the Company amended its convertible promissory note (the "Second Amended Note") with Google LLC ("Google"), originally entered into on June 22, 2020 (the "Note"), and subsequently amended on November 19, 2020 (the "Amended Note"). The amendment extended the maturity date of the Second Amended Note from 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7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5" w:name="page26"/>
    <w:bookmarkEnd w:id="25"/>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$3.5 million and $3.6 million during the three months ended March 31, 2025 and 2024, respectively. Accrued interest on the Second Amended Note is recorded as Interest Payable within Other long-term liabilities on the condensed consolidated balance sheet.</w:t>
      </w:r>
    </w:p>
    <w:p>
      <w:pPr>
        <w:spacing w:after="0" w:line="28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three months ended March 31, 2025 and 2024, all potentially dilutive common stock equivalents have been excluded from the calculation of diluted net loss per share attributable to common stockholders as their effect is anti-dilutive.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9"/>
        </w:trPr>
        <w:tc>
          <w:tcPr>
            <w:tcW w:w="20" w:type="dxa"/>
            <w:vAlign w:val="bottom"/>
          </w:tcPr>
          <w:p>
            <w:pPr>
              <w:spacing w:after="0"/>
              <w:rPr>
                <w:sz w:val="12"/>
                <w:szCs w:val="12"/>
                <w:color w:val="auto"/>
              </w:rPr>
            </w:pPr>
          </w:p>
        </w:tc>
        <w:tc>
          <w:tcPr>
            <w:tcW w:w="70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r>
      <w:tr>
        <w:trPr>
          <w:trHeight w:val="198"/>
        </w:trPr>
        <w:tc>
          <w:tcPr>
            <w:tcW w:w="20" w:type="dxa"/>
            <w:vAlign w:val="bottom"/>
          </w:tcPr>
          <w:p>
            <w:pPr>
              <w:spacing w:after="0"/>
              <w:rPr>
                <w:sz w:val="17"/>
                <w:szCs w:val="17"/>
                <w:color w:val="auto"/>
              </w:rPr>
            </w:pPr>
          </w:p>
        </w:tc>
        <w:tc>
          <w:tcPr>
            <w:tcW w:w="70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Dividends on Series A, B, B-1, B-2, C, D, E, F, G, G-3, and G-4 preferred</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(27,807)</w:t>
            </w: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(93,056)</w:t>
            </w: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170,506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-1293495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-453390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-453390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10, the Company issued a warrant for $100 million in shares of the Company’s Class A common stock. As per the terms of the warrant, potentially dilutive shares are based on the latest equity financing price. The warrant was terminated for no consideration on December 31, 2024.</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21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148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18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1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63,603,084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Astrazeneca warrant</w:t>
            </w:r>
          </w:p>
        </w:tc>
        <w:tc>
          <w:tcPr>
            <w:tcW w:w="218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Deep 6 holdback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SEngine holdback liability</w:t>
            </w:r>
          </w:p>
        </w:tc>
        <w:tc>
          <w:tcPr>
            <w:tcW w:w="218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5,761,861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RSAs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Allen &amp; Company warrant</w:t>
            </w:r>
          </w:p>
        </w:tc>
        <w:tc>
          <w:tcPr>
            <w:tcW w:w="21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r>
      <w:tr>
        <w:trPr>
          <w:trHeight w:val="250"/>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5,805,292</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65,749,082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12, the RSUs issued prior to the IPO include a liquidity event performance condition prior to vesting. As such, as of March 31, 2024, these are treated as contingently issuable shares and are excluded from potentially dilutive shares as the liquidity event performance condition was not yet satisfied. As the liquidity event performance condition was satisfied upon completion of the IPO, as of March 31, 2025, these shares are included in potentially dilutive shares.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13,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will be excluded from potential dilutive impact.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8" w:right="399" w:bottom="1440" w:gutter="0" w:footer="0" w:header="0"/>
        </w:sectPr>
      </w:pPr>
    </w:p>
    <w:bookmarkStart w:id="26" w:name="page27"/>
    <w:bookmarkEnd w:id="26"/>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11, the Company’s Series G-3 Preferred, Series G-4 Preferred and Series G-5 Preferred contain embedded conversion features resulted in the issuance of additional shares of Class A common stock upon completion of the IPO. The number of shares issued related to these features was dependent upon the IPO price. As such, prior to the IPO, these are treated as contingently issuable shares. Subsequent to the completion of the IPO in June 2024, the additional shares of Class A common stock are included in the weighted-average common shares outstanding.</w:t>
      </w:r>
    </w:p>
    <w:p>
      <w:pPr>
        <w:spacing w:after="0" w:line="28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an income tax benefit of $46.2 million. This benefit is the result of a discrete tax benefit of $46.2 million recorded from the release of a portion of the valuation allowance attributable to a preliminary estimate of $46.2 million net deferred tax liabilities recorded on Ambry's opening balance sheet which offset certain net deferred tax assets of the Company. Income tax expense for the three months ended March 31, 2024 was not material.</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2025 differs from the statutory federal income tax rate primarily due to the discrete tax benefit recognized from the reduction of the valuation allowance as a result of the Ambry Acquisition during the quarter.</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the realizability of its deferred tax assets on a quarterly basis and adjust the valuation allowance as necessary based on the weight of available evidence.</w:t>
      </w:r>
    </w:p>
    <w:p>
      <w:pPr>
        <w:spacing w:after="0" w:line="266" w:lineRule="exact"/>
        <w:rPr>
          <w:sz w:val="20"/>
          <w:szCs w:val="20"/>
          <w:color w:val="auto"/>
        </w:rPr>
      </w:pPr>
    </w:p>
    <w:p>
      <w:pPr>
        <w:ind w:left="520" w:right="4360" w:hanging="512"/>
        <w:spacing w:after="0" w:line="378" w:lineRule="auto"/>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EQUITY SECURITIES Fair Value Measurements</w:t>
      </w:r>
    </w:p>
    <w:p>
      <w:pPr>
        <w:jc w:val="both"/>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160"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Marketable equity securities</w:t>
      </w:r>
      <w:r>
        <w:rPr>
          <w:rFonts w:ascii="Times New Roman" w:cs="Times New Roman" w:eastAsia="Times New Roman" w:hAnsi="Times New Roman"/>
          <w:sz w:val="18"/>
          <w:szCs w:val="18"/>
          <w:color w:val="auto"/>
        </w:rPr>
        <w:t>—The Company holds marketable equity securities, all of which are publicly traded shares of common stock,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quoted prices in active markets and are classified as short-term. The securities are measured at fair value each reporting period. The Company classifies the marketable equity securities as Level 1 as they are valued using quoted market prices at each reporting period.</w:t>
      </w:r>
    </w:p>
    <w:p>
      <w:pPr>
        <w:spacing w:after="0" w:line="21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also subject to a contingent consideration arrangement of 35,000 additional shares of non-voting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connection with the SEngine acquisition, the amount of which is determined based on the per share price of the Company’s non-voting common stock in a liquidity event completed prior to December 31, 2027. The contingent consideration has an acquisition fair value date of $0.8 million. See Note 4, Business Combinations for further discussion of that acquisition.</w:t>
      </w:r>
    </w:p>
    <w:p>
      <w:pPr>
        <w:spacing w:after="0" w:line="1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classified the contingent consideration arrangement of up to 35,000 additional shares of non-voting common stock as Level 1 as the shares are valued using a quoted market price.</w:t>
      </w:r>
    </w:p>
    <w:p>
      <w:pPr>
        <w:spacing w:after="0" w:line="160"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Holdback liability</w:t>
      </w:r>
      <w:r>
        <w:rPr>
          <w:rFonts w:ascii="Times New Roman" w:cs="Times New Roman" w:eastAsia="Times New Roman" w:hAnsi="Times New Roman"/>
          <w:sz w:val="18"/>
          <w:szCs w:val="18"/>
          <w:color w:val="auto"/>
        </w:rPr>
        <w:t>—The Company held back 17,372 shares in connection with the Deep 6 acquisition. See Note 4, Business Combinations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discussion of that acquisition.</w:t>
      </w:r>
    </w:p>
    <w:p>
      <w:pPr>
        <w:spacing w:after="0" w:line="16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classified the holdback liability as Level 1 as the shares are valued using a quoted market price.</w:t>
      </w:r>
    </w:p>
    <w:p>
      <w:pPr>
        <w:spacing w:after="0" w:line="178"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10, the Company issued a $100 million warrant to AstraZeneca. The warrant liability is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each reporting period, using a Black-Scholes option pricing model. The Company classifies the warrant liability as Level 3 due to the lack of relevant observable market data over fair value inputs such as the expected term. The warrant was terminated for no consideration on December 31, 2024.</w:t>
      </w:r>
    </w:p>
    <w:p>
      <w:pPr>
        <w:spacing w:after="0" w:line="1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Credit Facilities and the Second Amended Note were not recorded at fair value. The fair values of the Credit Facilities, and the Second Amended Note approximated their carrying values as of March 31, 2025 and December 31, 2024. Estimates of the fair values of the Credit Facilities and the Second Amended Note are classified as Level 3 due to the lack of relevant observable market data over fair value inputs.</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and liabilities that are measured at fair value on a recurring basis as of March 31, 2025 and December 31, 2024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Holdback liability</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2"/>
        </w:trPr>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did not recognize any gain or loss due to a change in fair value for assets and liabilities measured at fair value using significant unobservable inputs (Level 3). For the three months ended March 31, 2024, the Company recognized a loss of $0.8 million in Other (expense) income, net due to the change in fair value of the warrant liability and a loss of $0.2 million in Selling, general and administrative expense due to the change in fair value of contingent consideration determined by Level 3 valuation techniques.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equity securities, which are all publicly traded shares of Recursion Pharmaceuticals, Inc. ("Recursion") Class A common stock and Personalis common stock.</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Recursion shares of Class A common stock were received as payment of accounts receivable. During the three months ended March 31, 2025, the Company sold 737,466 shares of Recursion Class A common stock at a weighted average price of $11.28 per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28" w:name="page29"/>
    <w:bookmarkEnd w:id="28"/>
    <w:p>
      <w:pPr>
        <w:ind w:right="280"/>
        <w:spacing w:after="0" w:line="282" w:lineRule="auto"/>
        <w:rPr>
          <w:sz w:val="20"/>
          <w:szCs w:val="20"/>
          <w:color w:val="auto"/>
        </w:rPr>
      </w:pPr>
      <w:r>
        <w:rPr>
          <w:rFonts w:ascii="Times New Roman" w:cs="Times New Roman" w:eastAsia="Times New Roman" w:hAnsi="Times New Roman"/>
          <w:sz w:val="18"/>
          <w:szCs w:val="18"/>
          <w:color w:val="auto"/>
        </w:rPr>
        <w:t>share for aggregate proceeds of $8.3 million. During the three months ended March 31, 2024, the Company sold 1,725,902 shares of Recursion Class A common stock at a weighted average price of $13.38 for aggregate proceeds of $23.1 million.</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of marketable equity securities are recorded in earnings within Other (expense) income, net on the condensed consolidated statement of operations and comprehensive loss. The following summarizes the portion of unrealized gains recorded during the three months ended March 31, 2025 and 2024 that relate to marketable equity securities held as of March 31, 2025 and 2024 (in thousands).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loss (gain) during the period on marketable equity securities</w:t>
            </w: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31,805</w:t>
            </w: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gridSpan w:val="2"/>
            <w:shd w:val="clear" w:color="auto" w:fill="CFF0FC"/>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(6,246)</w:t>
            </w:r>
          </w:p>
        </w:tc>
        <w:tc>
          <w:tcPr>
            <w:tcW w:w="0" w:type="dxa"/>
            <w:vAlign w:val="bottom"/>
          </w:tcPr>
          <w:p>
            <w:pPr>
              <w:spacing w:after="0"/>
              <w:rPr>
                <w:sz w:val="1"/>
                <w:szCs w:val="1"/>
                <w:color w:val="auto"/>
              </w:rPr>
            </w:pP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gain recognized during the period on marketable equity securities sold during the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4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Unrealized loss (gain) recognized during the period on marketable equity securities still held</w:t>
            </w:r>
          </w:p>
        </w:tc>
        <w:tc>
          <w:tcPr>
            <w:tcW w:w="480" w:type="dxa"/>
            <w:vAlign w:val="bottom"/>
            <w:gridSpan w:val="2"/>
            <w:vMerge w:val="restart"/>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80" w:type="dxa"/>
            <w:vAlign w:val="bottom"/>
            <w:shd w:val="clear" w:color="auto" w:fill="CFF0FC"/>
          </w:tcPr>
          <w:p>
            <w:pPr>
              <w:spacing w:after="0"/>
              <w:rPr>
                <w:sz w:val="16"/>
                <w:szCs w:val="16"/>
                <w:color w:val="auto"/>
              </w:rPr>
            </w:pPr>
          </w:p>
        </w:tc>
        <w:tc>
          <w:tcPr>
            <w:tcW w:w="4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4"/>
        </w:trPr>
        <w:tc>
          <w:tcPr>
            <w:tcW w:w="694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at the reporting date</w:t>
            </w:r>
          </w:p>
        </w:tc>
        <w:tc>
          <w:tcPr>
            <w:tcW w:w="480" w:type="dxa"/>
            <w:vAlign w:val="bottom"/>
            <w:gridSpan w:val="2"/>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-693420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liability is amortized through the right-of-use asset as a reduction of rent expense over the lease term. The Company had a remaining related liability of $0.6 million as of both March 31, 2025 and December 31, 2024, respectively. The Company subleases a portion of office space to this related party on a month-to-month basis. Sublease income received from the related party was insignificant for the three months ended March 31, 2025 and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August 19, 2021, the Company entered into a related party arrangement with Pathos AI, Inc. (“Pathos”), which was subsequently amended on February 12, 2024, for the purpose of furthering the commercialization efforts of drug development. The Company received a warrant to purchase 23,456,790 shares, or approximately 15% of the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18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Company has entered into various agreements with Pathos, encompassing access to the Company's Lens product, sequencing, clinical research organization and other data services. The Company has recognized $0.6 million and $0.1 million for the three months ended March 31, 2025 and 2024, respectively.</w:t>
      </w:r>
    </w:p>
    <w:p>
      <w:pPr>
        <w:spacing w:after="0" w:line="18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there was no amount due to related parties. As of March 31, 2025 and December 31, 2024, the amount due from related parties was $0.7 million and $4.3 million, respectively.</w:t>
      </w:r>
    </w:p>
    <w:p>
      <w:pPr>
        <w:spacing w:after="0" w:line="266"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April 17, 2025 (the “Effective Date”), the Company entered into a series of agreements with AstraZeneca and Pathos, a related party, regarding both the development of a foundational large multimodal model in the field of oncology (the “Foundational Model”) and the licensing of certain de-identified multi-modal data to assist in the development of the Foundational Model.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29" w:name="page30"/>
    <w:bookmarkEnd w:id="29"/>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Specifically, on the Effective Date, the Company entered into a Statement of Work with AstraZeneca under the previously disclosed Master Services Agreement, dated November 17, 2021 (as amended from time to time), (the Master Services Agreement and the Statement of Work collectively referred to herein as the “MSA”). Pursuant to the MSA, (i) the Company will ensure that Pathos develops, and the Company provides AstraZeneca with, a Foundational Model which has been developed, validated, and maintained using de-identified datasets contributed by the Company, (ii) the Foundational Model will be developed, validated, and maintained by Pathos, (iii) AstraZeneca will pay the Company a fee of $35 million, and (iv) a syndicate of investors including AstraZeneca will contemporaneously execute a Stock Purchase Agreement with Pathos (the “SPA”) as part of a preferred stock financing round of sufficient size given the obligations described herein.</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Also on the Effective Date, the Company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Foundational Model development activities under the MSA, (ii) the Company will license Pathos a comprehensive de-identified multi-modal dataset for the sole purpose of assisting in the development and training of the Foundational Model under the MSA, (iii) Pathos will pay the Company data license fees of $200 million over a three-year period, including an upfront payment of $50 million payable on the Effective Date, (iv) the Company will receive a license to use the Foundational Model upon its completion (with certain field restrictions and the right of sublicense to AstraZeneca), and (v) in consideration of Pathos’ commitments under the Pathos Master Agreement, the Company will pay Pathos $35 million. Pathos, in its sole discretion, may pay up to 50% of the data license fees owed to the Company in shares of Pathos’ Series D Preferred Stock.</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8" w:right="4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 looking statements contained in this Quarterly Report on Form 10-Q include, but are not limited to, statements concerning the following:</w:t>
      </w:r>
    </w:p>
    <w:p>
      <w:pPr>
        <w:spacing w:after="0" w:line="81" w:lineRule="exact"/>
        <w:rPr>
          <w:sz w:val="20"/>
          <w:szCs w:val="20"/>
          <w:color w:val="auto"/>
        </w:rPr>
      </w:pPr>
    </w:p>
    <w:p>
      <w:pPr>
        <w:ind w:left="1020" w:right="1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new and potential tariffs, on us and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including through our joint venture, SB Tempus, in Japan;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businesses, form joint ventures or make investments in companies or technologies, including our ability to realize the expected benefits of our acquisitions of Ambry Genetics Corporation and Deep 6 AI,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1" w:name="page32"/>
    <w:bookmarkEnd w:id="31"/>
    <w:p>
      <w:pPr>
        <w:ind w:firstLine="509"/>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year ended December 31, 2024 .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and in our Annual Report on Form 10-K for the year ended December 31, 2024 for a discussion of forward- looking statements and important factors that could cause actual results to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$255.7 and $145.8 million in the three months ended March 31, 2025 and 2024, respectively. We also incurred net losses of $68.0 and $64.7 million in the three months ended March 31, 2025 and 2024, respectively. We generated adjusted EBITDA of $(16.2) million and $(43.9) million, in the three months ended March 31, 2025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"—Non-GAAP Financial Measure."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Ambry Genetics Corporation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On February 3, 2025, or the Closing Date, we completed our acquisition, or the Ambry Acquisition, of Ambry Genetics Corporation, a Delaware corporation, or Ambry, pursuant to a Securities Purchase Agreement, or the Purchase Agreement, entered into on November 4, 2024 with REALM IDx, Inc., a Delaware corporation, or the Seller, and the Seller’s ultimate parent, Konica Minolta, Inc., a Japanese corporation, as guarantor. We acquired all of the issued and outstanding shares of capital stock of Ambry.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The Stock Consideration was valued at $61.54 per share, which was the closing price of our Class A common stock on the Closing Date. Pursuant to the terms of the Purchase Agreement, 2,152,505 shares issued as Stock Consideration are subject to a lock-up for a period of one year following the Closing Date. In addition, $5.0 million of the Cash Consideration are held in an escrow account for purposes of satisfying any post-closing purchase price adjustments.</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In connection with the closing of the acquisition, we entered into an amendment to the Credit Agreement (as defined in </w:t>
      </w:r>
      <w:r>
        <w:rPr>
          <w:rFonts w:ascii="Times New Roman" w:cs="Times New Roman" w:eastAsia="Times New Roman" w:hAnsi="Times New Roman"/>
          <w:sz w:val="18"/>
          <w:szCs w:val="18"/>
          <w:color w:val="000000"/>
        </w:rPr>
        <w:t>“—Liquidity and Capital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Resources”</w:t>
      </w:r>
      <w:r>
        <w:rPr>
          <w:rFonts w:ascii="Times New Roman" w:cs="Times New Roman" w:eastAsia="Times New Roman" w:hAnsi="Times New Roman"/>
          <w:sz w:val="18"/>
          <w:szCs w:val="18"/>
          <w:color w:val="231F20"/>
        </w:rPr>
        <w:t>), providing for an additional $200.0 million in senior secured term loans, or the Additional Term Loan Facility, and $100.0 million in senior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secured revolving loan commitments, or the Revolving Credit Facility. We utilized borrowings under the Additional Term Loan Facility and the Revolving Credit Facility to fund the Cash Consideration for the acquisition and to pay fees and expenses related thereto.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AstraZeneca and Pathos</w:t>
      </w:r>
    </w:p>
    <w:p>
      <w:pPr>
        <w:spacing w:after="0" w:line="22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April 2025, we entered into a series of agreements with AstraZeneca AB, or AstraZeneca, and Pathos regarding both the development of a foundational large multimodal model in the field of oncology, or the Foundational Model, and the licensing of certain de-identified multi-modal data to assist in the development of the Foundational Model.</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Foundational Model which has been developed, validated, and maintained using de-identified datasets contributed by us, (ii) the Foundational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Foundational Model development activities under the MSA, (ii) we will license Pathos a comprehensive de-identified multi-modal dataset for the sole purpose of assisting in the development and training of the Foundational Model under the MSA, (iii) Pathos will pay us data license fees of $200 million over a three-year period, including an upfront payment of $50 million payable on the April 17, 2025 (iv) we will receive a license to use the Foundational Model upon its completion (with certain field restrictions and the right of sublicense to AstraZeneca), and (v) in consideration of Pathos’ commitments under the Pathos Master Agreement, we will pay Pathos $35 million. Pathos, in its sole discretion, may pay up to 50% of the data license fees owed to us in shares of Pathos’ Series D Preferred Stock.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previously disclosed, in November 2021, we entered into the MSA with, and issued a warrant to,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from $220 million to $320 million through December 2028 if the average closing price of our Class A common stock exceeds two times the price of shares of Class A common stock in our initial public offering, or the IPO, for any 30-day trading period following the one-year anniversary of our IPO.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4" w:name="page35"/>
    <w:bookmarkEnd w:id="34"/>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the warrant, AstraZeneca had the right to purchase up to $100 million in shares of our Class A common stock at an exercise price equal to $37.00 per share, representing the public offering price in our IPO. The warrant was exercisable through December 31, 2026. The warrant was automatically cancelled and terminated for no consideration as AstraZeneca declined to extend its financial commitment before December 31, 2024.</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$35.9 and $24.3 million during the three months ended March 31, 2025 and 2024,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genetic counselors,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5" w:name="page36"/>
    <w:bookmarkEnd w:id="35"/>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than 7,500 physicians and we have worked with over 200 biotech companies, as well as 19 of the 20 largest public pharmaceutical companies based on 2024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$33.4 million and $27.1 million during the three months ended March 31, 2025 and 2024,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In addition, the recent announcement of substantial new tariffs and other restrictive trade policies, to the extent such current and future tariffs apply to hardware, networking infrastructure or other technology infrastructure used by us or our third-party vendors, could raise costs, constrain supply or affect service reliability.</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2024, we had received payment on approximately 55% of our clinical oncology NGS tests across all payers performed from January 1, 2022 through December 31, 2023. We calculated this metric on a trailing basis based on payer adjudication timing. However, we continued to perform our NGS tests through December 31, 2024. For the years ended December 31, 2024 and 2023, our average reimbursement for NGS tests in oncology was approximately $1,510 and $1,450,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such as recently announced substantial new tariffs and other restrictive trade policies.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Genomics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revenue from inherited cancer risk, whole exome and genome profiling for rare conditions, and all other inherited screening testing primarily to genetic counselors.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our IPO,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from our Second Amended Note and Credit Facilities (each as defined in “—Liquidity and Capital Resources”). Interest expense related to our Second Amended Note will continue, but should decrease over time as the principal amount decreases.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18"/>
          <w:szCs w:val="18"/>
          <w:color w:val="231F20"/>
        </w:rPr>
        <w:t>consists of foreign currency exchange gains and losses, gains and losses on marketable equity securities, income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Intellectual Property Agreement, or the IP License Agreement,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which was exercised in August 2024. The fair value of the warrant assets and liabilities are measured each reporting period.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Benefit from (provision for)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Losses from equity method investments consist of earnings from our joint venture.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Genomics</w:t>
            </w:r>
          </w:p>
        </w:tc>
        <w:tc>
          <w:tcPr>
            <w:tcW w:w="2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Data and services</w:t>
            </w:r>
          </w:p>
        </w:tc>
        <w:tc>
          <w:tcPr>
            <w:tcW w:w="25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2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5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324,426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199,094</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(68,689)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(53,274)</w:t>
            </w:r>
          </w:p>
        </w:tc>
        <w:tc>
          <w:tcPr>
            <w:tcW w:w="44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5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(13,238)</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(27,455)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benefit from (provision for) income taxes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(64,732)</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9"/>
        </w:trPr>
        <w:tc>
          <w:tcPr>
            <w:tcW w:w="460" w:type="dxa"/>
            <w:vAlign w:val="bottom"/>
          </w:tcPr>
          <w:p>
            <w:pPr>
              <w:spacing w:after="0"/>
              <w:rPr>
                <w:sz w:val="21"/>
                <w:szCs w:val="21"/>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c>
          <w:tcPr>
            <w:tcW w:w="440" w:type="dxa"/>
            <w:vAlign w:val="bottom"/>
          </w:tcPr>
          <w:p>
            <w:pPr>
              <w:spacing w:after="0"/>
              <w:rPr>
                <w:sz w:val="21"/>
                <w:szCs w:val="21"/>
                <w:color w:val="auto"/>
              </w:rPr>
            </w:pPr>
          </w:p>
        </w:tc>
      </w:tr>
      <w:tr>
        <w:trPr>
          <w:trHeight w:val="629"/>
        </w:trPr>
        <w:tc>
          <w:tcPr>
            <w:tcW w:w="460" w:type="dxa"/>
            <w:vAlign w:val="bottom"/>
          </w:tcPr>
          <w:p>
            <w:pPr>
              <w:spacing w:after="0"/>
              <w:rPr>
                <w:sz w:val="24"/>
                <w:szCs w:val="24"/>
                <w:color w:val="auto"/>
              </w:rPr>
            </w:pPr>
          </w:p>
        </w:tc>
        <w:tc>
          <w:tcPr>
            <w:tcW w:w="454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175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-3171190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-3171190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-2065020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-2065020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-1499870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-1499870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-933450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-916305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5"/>
          </w:tcPr>
          <w:p>
            <w:pPr>
              <w:jc w:val="right"/>
              <w:ind w:right="717"/>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Genomics</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193,804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91,235</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Data and services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255,737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109,917</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for the three months ended March 31, 2025, compared to the same period in 2024, was due to increased volume of tests performed in Genomics and increased data deliveries in our Data and Services product line.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increase in Genomics revenue for the three months ended March 31, 2025, compared to the same period in 2024, was primarily due to an increase in the number of Oncology tests and the addition of Hereditary tests through the acquisition of Ambry. Volume of tests increased from approximately 62,700 tests for the three months ended March 31, 2024 to approximately 153,000 tests for the three months ended March 31, 2025, of which 78,000 tests related to Hereditary testing.</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Oncology tests increased from approximately 62,700 tests for the three months ended March 31, 2024 to approximately 75,000 tests for the three months ended March 31, 2025. Additionally, there was an increase in average revenue per Oncology test, which increased from approximately $1,450 for the three months ended March 31, 2024 to approximately $1,590 for the three months ended March 31, 2025. The increase in average revenue per Oncology test was driven primarily by increased Medicare reimbursement rates. The increase in the number of Oncology tests and average revenue per Oncology test resulted in a $28.3 million increase in Genomics revenue.</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Hereditary tests increased to approximately 78,000 tests for the three months ended March 31, 2025 due to the acquisition of Ambry in February 2025 and resulted in an increase of $63.5 million in Genomics revenue.</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Data and services revenue for the three months ended March 31, 2025, compared to the same period in 2024, was driven primarily by $18.2 million from increased demand for our Insights products. Across all Data and services products, the increase in revenue in the three months ended March 31, 2025 is primarily attributable to continued growth from within our existing customer base, as well as adoption of our services by new customers that did not purchase services in the three months ended March 31, 2024.</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5"/>
          </w:tcPr>
          <w:p>
            <w:pPr>
              <w:jc w:val="right"/>
              <w:ind w:right="717"/>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for the three months ended March 31, 2025, compared to the same period in 2024, was primarily due to increases of $23.8 million in material and service costs, of which $10.5 million in material and services is due to the Ambry Acquisition, $4.5 million in personnel-related costs from the Ambry Acquisition, and $1.6 million of stock-based compensation expenses related to RSUs for which the performance-based vesting condition was satisfied in connection with our IPO.</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increase in Cost of revenues, Genomics for the three months ended March 31, 2025, compared to the same period in 2024, was primarily due to increases of $23.8 million in material and service costs, of which $10.5 million in material and services is due to</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the Ambry Acquisition, $4.5 million in personnel-related costs from the Ambry Acquisition, and $1.0 million of stock-based compensation expense related to RSUs for which the performance-based vesting condition was satisfied in connection with our IPO.</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increase in Cost of revenues, Data and services for the three months ended March 31, 2025, compared to the same period in 2024, was not material.</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increase in Technology research and development expenses for the three months ended March 31, 2025, compared to the same period in 2024, was primarily due to an increase of $3.3 million of stock-based compensation expense related to RSUs for which the performance-based vesting condition was satisfied in connection with our IPO, and $2.7 million in personnel-related costs associated with the investment in our cloud infrastructure and new lines of business, of which $1.6 million is due to the Ambry Acquisition.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March 31, 2025, compared to the same period in 2024, was primarily due to an increase of $5.2 million in personnel-related costs for employees in our research and development group, of which $4.2 million is due to the Ambry Acquisition, $2.4 million in validation and regulatory fees, and $2.0 million of stock-based compensation expense related to RSUs for which the performance-based vesting condition was satisfied in connection with our IPO.</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75,063</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months ended March 31, 2025, compared to the same period in 2024, was primarily due to $23.7 million in personnel-related costs, of which $14.8 million is due to the Ambry Acquisition, $16.0 million of stock-based compensation expense related to RSUs for which the performance-based vesting condition was satisfied in connection with our IPO, $11.2 million in amortization of intangibles acquired from the Ambry Acquisition, $4.7 million in taxes related to the settlement of RSUs, $3.5 million in legal costs, $3.5 million in acquisition costs, and $2.0 million in software and tools costs.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March 31, 2025, compared to the same period in 2024, was primarily due to higher cash on hand as of March 31, 2025 as compared to March 31, 2024.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5"/>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(18,003)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(13,238)</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(4,765)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2025, compared to the same period in 2024, was primarily driven by compounding interest on our Second Amended Note and the additional interest expense from the Additional Term Loan Facility and Revolving Credit Facility,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4"/>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(27,455)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(28,204)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change in Other (expense) income, net for the three months ended March 31, 2025, compared to the same period in 2024, was primarily driven by a $38.1 million increase in expense related to unrealized losses on marketable equity securities, offset by a $4.7 million decrease in expense due to the change in fair value of our warrant asset, an increase of $4.0 in income from the Intellectual Property Agreement, or the IP License Agreement, with SB Tempus, and a $0.8 million decrease in expense due to the change in fair value of our warrant liability.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5"/>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-419918%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provision for income tax benefit (expense) for the three months ended March 31, 2025, compared to the same period in 2024, was due to the result of a $46.2 million discrete tax benefit recorded from the release of a portion of the valuation allowance attributable to net deferred tax liabilities related to the acquisition of Ambry which offset certain net deferred tax assets of us.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gridSpan w:val="6"/>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(1,883)</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increase in losses from equity method investments for the three months ended March 31, 2025, compared to the same period in 2024, was due to the losses from the joint venture we entered into in July 2024 (see Note 7 to our unaudited condensed consolidated financial statements included elsewhere in this Quarterly Report on Form 10-Q).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w:t>
      </w:r>
    </w:p>
    <w:p>
      <w:pPr>
        <w:spacing w:after="0" w:line="17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We define adjusted EBITDA as net income (loss), adjusted to exclude (i) interest income, (ii) interest expense, (iii) depreciation and amortization, (iv) (benefit from) provision for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w:t>
      </w:r>
    </w:p>
    <w:p>
      <w:pPr>
        <w:spacing w:after="0" w:line="3"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acquisition-related expenses</w:t>
      </w:r>
      <w:r>
        <w:rPr>
          <w:rFonts w:ascii="Times New Roman" w:cs="Times New Roman" w:eastAsia="Times New Roman" w:hAnsi="Times New Roman"/>
          <w:sz w:val="18"/>
          <w:szCs w:val="18"/>
          <w:color w:val="000000"/>
        </w:rPr>
        <w:t>, and (x) amortization of deferred other income from our IP License Agreement with SB Tempus. We use adjusted</w:t>
      </w:r>
    </w:p>
    <w:p>
      <w:pPr>
        <w:spacing w:after="0" w:line="9" w:lineRule="exact"/>
        <w:rPr>
          <w:rFonts w:ascii="Times New Roman" w:cs="Times New Roman" w:eastAsia="Times New Roman" w:hAnsi="Times New Roman"/>
          <w:sz w:val="18"/>
          <w:szCs w:val="18"/>
          <w:color w:val="auto"/>
        </w:rPr>
      </w:pPr>
    </w:p>
    <w:p>
      <w:pPr>
        <w:ind w:right="2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2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adjusted EBITDA, along with net loss, the most directly comparable GAAP measure, for each period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540" w:type="dxa"/>
            <w:vAlign w:val="bottom"/>
            <w:tcBorders>
              <w:bottom w:val="single" w:sz="8" w:color="auto"/>
            </w:tcBorders>
            <w:gridSpan w:val="5"/>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7"/>
        </w:trPr>
        <w:tc>
          <w:tcPr>
            <w:tcW w:w="7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gridSpan w:val="4"/>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7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71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(68,037)</w:t>
            </w: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Pr>
          <w:p>
            <w:pPr>
              <w:spacing w:after="0"/>
              <w:rPr>
                <w:sz w:val="18"/>
                <w:szCs w:val="18"/>
                <w:color w:val="auto"/>
              </w:rPr>
            </w:pP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(46,180)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84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(77,674)</w:t>
            </w: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(43,336)</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8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(2)</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10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(16,174)</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(43,926)</w:t>
            </w:r>
          </w:p>
        </w:tc>
      </w:tr>
      <w:tr>
        <w:trPr>
          <w:trHeight w:val="20"/>
        </w:trPr>
        <w:tc>
          <w:tcPr>
            <w:tcW w:w="7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20" w:hanging="512"/>
        <w:spacing w:after="0" w:line="223" w:lineRule="auto"/>
        <w:tabs>
          <w:tab w:leader="none" w:pos="5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indemnity-related holdback liabilities.</w:t>
      </w:r>
    </w:p>
    <w:p>
      <w:pPr>
        <w:spacing w:after="0" w:line="1" w:lineRule="exact"/>
        <w:rPr>
          <w:rFonts w:ascii="Times New Roman" w:cs="Times New Roman" w:eastAsia="Times New Roman" w:hAnsi="Times New Roman"/>
          <w:sz w:val="24"/>
          <w:szCs w:val="24"/>
          <w:color w:val="auto"/>
          <w:vertAlign w:val="superscript"/>
        </w:rPr>
      </w:pPr>
    </w:p>
    <w:p>
      <w:pPr>
        <w:ind w:left="520" w:right="200" w:hanging="512"/>
        <w:spacing w:after="0" w:line="214" w:lineRule="auto"/>
        <w:tabs>
          <w:tab w:leader="none" w:pos="520" w:val="left"/>
        </w:tabs>
        <w:numPr>
          <w:ilvl w:val="0"/>
          <w:numId w:val="29"/>
        </w:numPr>
        <w:rPr>
          <w:rFonts w:ascii="Times New Roman" w:cs="Times New Roman" w:eastAsia="Times New Roman" w:hAnsi="Times New Roman"/>
          <w:sz w:val="24"/>
          <w:szCs w:val="24"/>
          <w:color w:val="231F20"/>
          <w:vertAlign w:val="superscript"/>
        </w:rPr>
      </w:pPr>
      <w:r>
        <w:rPr>
          <w:rFonts w:ascii="Times New Roman" w:cs="Times New Roman" w:eastAsia="Times New Roman" w:hAnsi="Times New Roman"/>
          <w:sz w:val="18"/>
          <w:szCs w:val="18"/>
          <w:color w:val="231F20"/>
        </w:rPr>
        <w:t>Acquisition related expenses consist of legal, diligence, accounting, and financing costs incurred for the acquisitions of Ambry and Deep 6 during the three months ended March 31,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March 31, 2025, we had an accumulated deficit of $2.2 billion.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term debt, the Revolving Credit Facility, and sales of our products. As of March 31, 2025, we had cash, cash equivalents and restricted cash of $153.3 million. In April 2024, we sold an aggregate of 3,489,981 shares of our Series G-5 convertible preferred stock at a price per share of $57.3069, for an aggregate purchase price of approximately $200.0 million in a private placement to an accredited investor. In June 2024, we completed our IPO, which resulted in net proceeds of $382.0 million after deducting underwriting discounts and commissions of $28.7 million.</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and in our Form 10-K for the year ended December 31, 2024,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t>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September 22, 2022, we entered into a Credit Agreement, or the Original Credit Agreement, with Ares Capital Corporation, or Ares, for a senior secured loan, or the Term Loan Facility, in an original principal amount of $175.0 million, less original issue discount of $4.4 million and deferred financing fees of $2.6 million. The Credit Agreement was amended on April 25, 2023 to, among other things, increase the original principal amount of the Term Loan Facility by $50.0 million, less original issue discount of $1.3 million, and was further amended on October 11, 2023 to, among other things, increase the original principal amount of the Term Loan Facility by $35.0 million, less original issue discount of $0.9 million. On February 3, 2025, we entered into the Amendment Agreement which, among other things, provided for an additional $200.0 million tranche of senior secured term loans, or the Additional Term Loan Facility, and together with the Term Loan Facility, the “Term Loans,” and $100.0 million in priority revolving loan commitments, or the Revolving Credit Facility, and loans thereunder, the “Revolving Loans”. We received $291.1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Additional Term Loan Facility and the Revolving Credit Facility mature on February 3, 2030. The Term Loan Facility matures in September 2027. The Term Loan Facilities and Revolving Credit Facility, or together, the Credit Facilities, are subject to quarterly interest payments for Base Rate loans and at the end of the applicable interest rate period for Term Secured Overnight Financing Rate, or SOFR, loans. The Amendment Agreement was accounted for as a debt modification.</w:t>
      </w:r>
    </w:p>
    <w:p>
      <w:pPr>
        <w:spacing w:after="0" w:line="196"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w:t>
      </w:r>
    </w:p>
    <w:p>
      <w:pPr>
        <w:spacing w:after="0" w:line="1" w:lineRule="exact"/>
        <w:rPr>
          <w:sz w:val="20"/>
          <w:szCs w:val="20"/>
          <w:color w:val="auto"/>
        </w:rPr>
      </w:pPr>
    </w:p>
    <w:p>
      <w:pPr>
        <w:ind w:right="40" w:firstLine="8"/>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2.00%, or a SOFR Borrowing, which bears interest based on Term SOFR. Additionally, the Company may make either a PIK election or a Cash election. Pursuant to the Original Credit Agreement, as amended by the Amendment Agreement, or the Credit Agreement, through December 31, 2025, interest on the Term Loans accrues at a per annum rate as follows: (i) for any interest period for which we elect to pay interest in cash,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6.25%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7.25%,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 and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 respectively, and the paid-in-kind interest rate will be 3.25%.</w:t>
      </w:r>
    </w:p>
    <w:p>
      <w:pPr>
        <w:spacing w:after="0" w:line="19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From and after January 1, 2026, interest on the Term Loans accrues at a per annum rate as follows: (i) for any interest period for which we elect to pay interest in cash,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5.75% to 6.75%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6.75% to 7.75%,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4% or 4.5%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5% or 5.5%, respectively, and the paid-in-kind interest rate will be 3.25%. The applicable margin for any interest period for which we elect to pay interest in cash will be based on a consolidated first lien leverage ratio and whether we have satisfied certain junior capital raising requirements. The applicable margin for any interest period for which we elect to pay interest in kind will be based on whether we have satisfied certain junior capital raising requirements.</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Interest on the Revolving Loans accrues interest at a per annum rate equal to either,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2.75% or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or the Minimum Revolving Interest Amount. A commitment fee will accrue on the unused amount of the Revolving Credit Facility at a per annum rate of 0.50%; provided, however, that no such fee shall accrue to the extent we are being charged the Minimum Revolving Interest Amount.</w:t>
      </w:r>
    </w:p>
    <w:p>
      <w:pPr>
        <w:spacing w:after="0" w:line="18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leverage from and after the fiscal quarter ending March 31, 2027. We were in compliance with all covenants in the Credit Agreement as of March 31, 2025.</w:t>
      </w:r>
    </w:p>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22, 2025, we amended our convertible promissory note, or the Second Amended Note, with Google LLC, or Google, originally entered into on June 22, 2020, or the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w:t>
      </w:r>
    </w:p>
    <w:p>
      <w:pPr>
        <w:spacing w:after="0" w:line="5" w:lineRule="exact"/>
        <w:rPr>
          <w:sz w:val="20"/>
          <w:szCs w:val="20"/>
          <w:color w:val="auto"/>
        </w:rPr>
      </w:pPr>
    </w:p>
    <w:p>
      <w:pPr>
        <w:ind w:right="20" w:firstLine="8"/>
        <w:spacing w:after="0" w:line="255"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acceleration event, which includes any termination by us of ours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17"/>
        </w:trPr>
        <w:tc>
          <w:tcPr>
            <w:tcW w:w="5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0" w:type="dxa"/>
            <w:vAlign w:val="bottom"/>
            <w:gridSpan w:val="4"/>
          </w:tcPr>
          <w:p>
            <w:pPr>
              <w:jc w:val="center"/>
              <w:ind w:left="601"/>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5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4"/>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(105,624)</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(101,378)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(375,818)</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2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293,042</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(1,378)</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2025 was $105.7 million, which resulted from a net loss of $68.0 million and a net change in our operating assets and liabilities of $75.1 million, offset by non-cash charges of $37.5 million. Non-cash charges primarily consisted of $31.8 million of loss on marketable equity securities, $23.0 million of stock-based compensation, and $20.4 million of depreciation and amortization, offset by deferred income taxes of $46.2 million. The net change in our operating assets and liabilities was primarily the result of a $45.2 million increase in accounts receivable due to increased sales and timing of customer payments, a $27.6 million decrease in accrued expenses and other, primarily due to decreased payroll taxes from RSU settlements, a $12.4 million decrease in deferred revenue, offset by an increase in accounts payable of $23.6 million due to timing of payments.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2024 was $101.4 million, which resulted from a net loss of $64.7 million and a net change in our operating assets and liabilities of $51.1 million, offset by non-cash charges of $14.5 million. Non-cash charges primarily consisted of $9.2 million of depreciation and amortization, $4.7 million of change in fair value of warrant asset, $2.2 million of PIK interest added to principal, $1.7 million of non-cash operating lease costs, and amortization of the warrant contract asset of $1.2 million offset by $6.2 million of the gain on marketable equity securities. The net change in our operating assets and liabilities was primarily the result of a $16.0 million decrease in deferred revenue, $13.6 million increase in accounts receivable due to increased sales and timing of customer payments, and a decrease of $12.1 million in accounts payable.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2025 was $375.8 million, which was the result of $380.8 million cash paid related to the Ambry and Deep 6 acquisitions, purchases of property and equipment of $2.1 million, and $1.3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color w:val="auto"/>
        </w:rPr>
        <w:t>million of purchases of capitalized software from the Ambry Acquisition, offset by proceeds from the sale of marketable equity securities of $8.3 million.</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during the three months ended March 31, 2024 was $17.0 million, which was the result of proceeds from the sale of marketable equity securities of $23.1 million, offset by purchases of property and equipment of $6.1 million.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2025 was $293.0 million, which was the result of net proceeds from the Additional Term Loan Facility of $196.0 million, and net proceeds from the Revolving Credit Facility of $98.0 million, offset by $1.0 million of payment of deferred financing fees.</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2024 was $1.4 million, which was primarily due to payment of indemnity holdback related to an acquisition of $0.8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in accordance with generally accepted accounting principles in the United States, or GAAP.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months ended March 31, 2025 as described in the Form 10-K for the year ended December 31, 2024. The following accounting policy relating to business combinations is disclosed in connection with the acquisition of Ambry.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ASC Topic 805, Business Combinations, the Company uses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condensed consolidated financial statements included elsewhere in this Quarterly Report on Form 10-Q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ind w:right="140"/>
        <w:spacing w:after="0" w:line="266" w:lineRule="auto"/>
        <w:rPr>
          <w:sz w:val="20"/>
          <w:szCs w:val="20"/>
          <w:color w:val="auto"/>
        </w:rPr>
      </w:pPr>
      <w:r>
        <w:rPr>
          <w:rFonts w:ascii="Times New Roman" w:cs="Times New Roman" w:eastAsia="Times New Roman" w:hAnsi="Times New Roman"/>
          <w:sz w:val="18"/>
          <w:szCs w:val="18"/>
          <w:color w:val="auto"/>
        </w:rPr>
        <w:t>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March 31, 2025, we had cash, cash equivalents and restricted cash of $153.3 million held primarily in cash deposits and money market funds. As of March 31, 2025, we had $575.7 million outstanding under our Term Loan Facilities and Revolving Credit Facility, which are subject to quarterly interest payments. A hypothetical 100 basis point increase or decrease in interest rates under our Term Loan Facilities and Revolving Credit Facility would not be material to our financial condition or results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March 31, 2025,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March 31, 2025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disclosure controls and procedures were effective at a reasonable assurance level as of March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have materially affected, or is reasonably likely to materially affect, our internal control over financial reporting.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w:t>
      </w:r>
    </w:p>
    <w:p>
      <w:pPr>
        <w:spacing w:after="0" w:line="1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We have not received additional inquiry from the U.S. Attorney’s Office since our last document production.</w:t>
      </w:r>
    </w:p>
    <w:p>
      <w:pPr>
        <w:spacing w:after="0" w:line="11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While we believe our programs and payments comply with the Anti-Kickback statute,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spacing w:after="0" w:line="9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 Guardant in the U.S. District Court for the Southern District of California alleging that certain Guardant products infringe U.S. Patent Nos. 12,112,839, 11,640,859, 10,957,041, and 10,991,097. All cases are pending.</w:t>
      </w:r>
    </w:p>
    <w:p>
      <w:pPr>
        <w:spacing w:after="0" w:line="10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2024, filed with the SEC on February 24,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9" w:name="page50"/>
    <w:bookmarkEnd w:id="49"/>
    <w:p>
      <w:pPr>
        <w:ind w:right="100"/>
        <w:spacing w:after="0" w:line="282" w:lineRule="auto"/>
        <w:rPr>
          <w:sz w:val="20"/>
          <w:szCs w:val="20"/>
          <w:color w:val="auto"/>
        </w:rPr>
      </w:pPr>
      <w:r>
        <w:rPr>
          <w:rFonts w:ascii="Times New Roman" w:cs="Times New Roman" w:eastAsia="Times New Roman" w:hAnsi="Times New Roman"/>
          <w:sz w:val="18"/>
          <w:szCs w:val="18"/>
          <w:color w:val="auto"/>
        </w:rPr>
        <w:t>2025. The risks and uncertainties disclosed in such Annual Report could materially adversely affect our business, financial condition, cash flows or results of operations and thus our stock price. During the first quarter of fiscal 2025, there were no material changes to our previously disclosed risk factors.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risk factors may be important to understanding other statements in this Quarterly Report and should be read in conjunction with the unaudited condensed consolidated financial statements and related notes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 Part I, Item 2,“</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of this Quarterly Report. Because of such risk factors, as well as other factors affecting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operating results, past financial performance should not be considered to be a reliable indicator of future performance, and investors should not use historical trends to anticipate results or trends in future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Deep 6 AI, Inc., or Deep 6, on March 11, 2025, we issued 269,280 shares of our Class A common stock to certain former stockholders of Deep 6. We issued the shares in reliance on an exemption from registration provided for under Section 4(a)(2) of the Securities Act and/or Rule 506 of Regulation D promulgated thereunder as a transaction by an issuer not involving a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June 17, 2024, we completed our IPO in which we issued and sold 11,100,000 shares of Class A common stock, at a public offering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$37.00 per share. We received net proceeds of $382.0 million after deducting underwriting discounts and commissions of $28.7 million.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IPO, all shares of our then-outstanding convertible preferred stock automatically converted into an aggregate of 66,640,660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All shares sold were registered pursuant to a registration statement on Form S-1 (File No. 333-279558),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declared effective by the SEC on June 13, 2024. Morgan Stanley &amp; Co. LLC, J.P. Morgan Securities LLC and Allen acted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of the underwriters for the IPO. The offering terminated after the sale of all securities registered pursuant to the Registration Statement.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for such expenses were made directly or indirectly to (i) any of our officers or directors or their associates, (ii) any persons owning 10%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class of our equity securities, or (iii) any of our affiliates.</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used a portion of the net proceeds from our IPO to satisfy tax withholding and remittance obligations related to RSU Net Settlement and for working capital for the quarter ended March 31, 2025. There has been no material change in the expected use of the net proceeds from our IPO as described in the Final Prospectus dated as of June 13, 2024 and filed with the SEC pursuant to Rule 424(b)(4) on June 17,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Trading Arrangements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our directors or officers (as defined in Rule 16a-1(f) under the Exchange Act) adopted or terminated a “Rule 10b5-1 trading arrangement” or a “non-Rule 10b5-1 trading arrangement,” as each term is defined in Item 408 of Regulation S-K, except as set forth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Trading</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0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Non-Rule</w:t>
            </w: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3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10b5-1*</w:t>
            </w:r>
          </w:p>
        </w:tc>
        <w:tc>
          <w:tcPr>
            <w:tcW w:w="100" w:type="dxa"/>
            <w:vAlign w:val="bottom"/>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10b5-1**</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to be Sold</w:t>
            </w:r>
          </w:p>
        </w:tc>
        <w:tc>
          <w:tcPr>
            <w:tcW w:w="12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6"/>
                <w:szCs w:val="16"/>
                <w:color w:val="auto"/>
              </w:rPr>
              <w:t>Nadja West, Director</w:t>
            </w:r>
          </w:p>
        </w:tc>
        <w:tc>
          <w:tcPr>
            <w:tcW w:w="120" w:type="dxa"/>
            <w:vAlign w:val="bottom"/>
            <w:shd w:val="clear" w:color="auto" w:fill="CFF0FA"/>
          </w:tcPr>
          <w:p>
            <w:pPr>
              <w:spacing w:after="0"/>
              <w:rPr>
                <w:sz w:val="18"/>
                <w:szCs w:val="18"/>
                <w:color w:val="auto"/>
              </w:rPr>
            </w:pPr>
          </w:p>
        </w:tc>
        <w:tc>
          <w:tcPr>
            <w:tcW w:w="112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shd w:val="clear" w:color="auto" w:fill="CFF0FA"/>
          </w:tcPr>
          <w:p>
            <w:pPr>
              <w:spacing w:after="0"/>
              <w:rPr>
                <w:sz w:val="18"/>
                <w:szCs w:val="18"/>
                <w:color w:val="auto"/>
              </w:rPr>
            </w:pPr>
          </w:p>
        </w:tc>
        <w:tc>
          <w:tcPr>
            <w:tcW w:w="1580" w:type="dxa"/>
            <w:vAlign w:val="bottom"/>
            <w:gridSpan w:val="2"/>
            <w:shd w:val="clear" w:color="auto" w:fill="CFF0FA"/>
          </w:tcPr>
          <w:p>
            <w:pPr>
              <w:jc w:val="center"/>
              <w:ind w:right="100"/>
              <w:spacing w:after="0"/>
              <w:rPr>
                <w:sz w:val="20"/>
                <w:szCs w:val="20"/>
                <w:color w:val="auto"/>
              </w:rPr>
            </w:pPr>
            <w:r>
              <w:rPr>
                <w:rFonts w:ascii="Times New Roman" w:cs="Times New Roman" w:eastAsia="Times New Roman" w:hAnsi="Times New Roman"/>
                <w:sz w:val="16"/>
                <w:szCs w:val="16"/>
                <w:color w:val="auto"/>
              </w:rPr>
              <w:t>December 3, 2024</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18"/>
                <w:szCs w:val="18"/>
                <w:color w:val="auto"/>
              </w:rPr>
            </w:pPr>
          </w:p>
        </w:tc>
        <w:tc>
          <w:tcPr>
            <w:tcW w:w="780" w:type="dxa"/>
            <w:vAlign w:val="bottom"/>
            <w:shd w:val="clear" w:color="auto" w:fill="CFF0FA"/>
          </w:tcPr>
          <w:p>
            <w:pPr>
              <w:spacing w:after="0"/>
              <w:rPr>
                <w:sz w:val="18"/>
                <w:szCs w:val="18"/>
                <w:color w:val="auto"/>
              </w:rPr>
            </w:pPr>
          </w:p>
        </w:tc>
        <w:tc>
          <w:tcPr>
            <w:tcW w:w="1440" w:type="dxa"/>
            <w:vAlign w:val="bottom"/>
            <w:gridSpan w:val="2"/>
            <w:shd w:val="clear" w:color="auto" w:fill="CFF0FA"/>
          </w:tcPr>
          <w:p>
            <w:pPr>
              <w:jc w:val="center"/>
              <w:ind w:left="39"/>
              <w:spacing w:after="0"/>
              <w:rPr>
                <w:sz w:val="20"/>
                <w:szCs w:val="20"/>
                <w:color w:val="auto"/>
              </w:rPr>
            </w:pPr>
            <w:r>
              <w:rPr>
                <w:rFonts w:ascii="Times New Roman" w:cs="Times New Roman" w:eastAsia="Times New Roman" w:hAnsi="Times New Roman"/>
                <w:sz w:val="16"/>
                <w:szCs w:val="16"/>
                <w:color w:val="auto"/>
                <w:w w:val="99"/>
              </w:rPr>
              <w:t>8,443</w:t>
            </w:r>
          </w:p>
        </w:tc>
        <w:tc>
          <w:tcPr>
            <w:tcW w:w="120" w:type="dxa"/>
            <w:vAlign w:val="bottom"/>
            <w:shd w:val="clear" w:color="auto" w:fill="CFF0FA"/>
          </w:tcPr>
          <w:p>
            <w:pPr>
              <w:spacing w:after="0"/>
              <w:rPr>
                <w:sz w:val="18"/>
                <w:szCs w:val="18"/>
                <w:color w:val="auto"/>
              </w:rPr>
            </w:pPr>
          </w:p>
        </w:tc>
        <w:tc>
          <w:tcPr>
            <w:tcW w:w="1560" w:type="dxa"/>
            <w:vAlign w:val="bottom"/>
            <w:shd w:val="clear" w:color="auto" w:fill="CFF0FA"/>
          </w:tcPr>
          <w:p>
            <w:pPr>
              <w:jc w:val="center"/>
              <w:spacing w:after="0" w:line="210" w:lineRule="exact"/>
              <w:rPr>
                <w:sz w:val="20"/>
                <w:szCs w:val="20"/>
                <w:color w:val="auto"/>
              </w:rPr>
            </w:pPr>
            <w:r>
              <w:rPr>
                <w:rFonts w:ascii="Times New Roman" w:cs="Times New Roman" w:eastAsia="Times New Roman" w:hAnsi="Times New Roman"/>
                <w:sz w:val="16"/>
                <w:szCs w:val="16"/>
                <w:color w:val="auto"/>
                <w:w w:val="98"/>
              </w:rPr>
              <w:t>December 1, 2025</w:t>
            </w:r>
            <w:r>
              <w:rPr>
                <w:rFonts w:ascii="Times New Roman" w:cs="Times New Roman" w:eastAsia="Times New Roman" w:hAnsi="Times New Roman"/>
                <w:sz w:val="21"/>
                <w:szCs w:val="21"/>
                <w:color w:val="auto"/>
                <w:w w:val="98"/>
                <w:vertAlign w:val="superscript"/>
              </w:rPr>
              <w:t>(1)</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Eric Lefkofsky, Chief Executive Officer,</w:t>
            </w:r>
          </w:p>
        </w:tc>
        <w:tc>
          <w:tcPr>
            <w:tcW w:w="12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Adoption</w:t>
            </w:r>
            <w:r>
              <w:rPr>
                <w:rFonts w:ascii="Times New Roman" w:cs="Times New Roman" w:eastAsia="Times New Roman" w:hAnsi="Times New Roman"/>
                <w:sz w:val="21"/>
                <w:szCs w:val="21"/>
                <w:color w:val="auto"/>
                <w:w w:val="93"/>
                <w:vertAlign w:val="superscript"/>
              </w:rPr>
              <w:t>(2)</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4"/>
              </w:rPr>
              <w:t>1,995,000</w:t>
            </w:r>
            <w:r>
              <w:rPr>
                <w:rFonts w:ascii="Times New Roman" w:cs="Times New Roman" w:eastAsia="Times New Roman" w:hAnsi="Times New Roman"/>
                <w:sz w:val="21"/>
                <w:szCs w:val="21"/>
                <w:color w:val="auto"/>
                <w:w w:val="94"/>
                <w:vertAlign w:val="superscript"/>
              </w:rPr>
              <w:t>(3)</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Founder and Director</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27,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 2026</w:t>
            </w:r>
          </w:p>
        </w:tc>
        <w:tc>
          <w:tcPr>
            <w:tcW w:w="0" w:type="dxa"/>
            <w:vAlign w:val="bottom"/>
          </w:tcPr>
          <w:p>
            <w:pPr>
              <w:spacing w:after="0"/>
              <w:rPr>
                <w:sz w:val="1"/>
                <w:szCs w:val="1"/>
                <w:color w:val="auto"/>
              </w:rPr>
            </w:pPr>
          </w:p>
        </w:tc>
      </w:tr>
      <w:tr>
        <w:trPr>
          <w:trHeight w:val="189"/>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6"/>
                <w:szCs w:val="16"/>
                <w:color w:val="auto"/>
              </w:rPr>
              <w:t>Eric Lefkofsky, Chief Executive Officer,</w:t>
            </w:r>
          </w:p>
        </w:tc>
        <w:tc>
          <w:tcPr>
            <w:tcW w:w="120" w:type="dxa"/>
            <w:vAlign w:val="bottom"/>
            <w:shd w:val="clear" w:color="auto" w:fill="CFF0FA"/>
          </w:tcPr>
          <w:p>
            <w:pPr>
              <w:spacing w:after="0"/>
              <w:rPr>
                <w:sz w:val="16"/>
                <w:szCs w:val="16"/>
                <w:color w:val="auto"/>
              </w:rPr>
            </w:pPr>
          </w:p>
        </w:tc>
        <w:tc>
          <w:tcPr>
            <w:tcW w:w="1120" w:type="dxa"/>
            <w:vAlign w:val="bottom"/>
            <w:vMerge w:val="restart"/>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6"/>
              </w:rPr>
              <w:t>Modification</w:t>
            </w:r>
            <w:r>
              <w:rPr>
                <w:rFonts w:ascii="Times New Roman" w:cs="Times New Roman" w:eastAsia="Times New Roman" w:hAnsi="Times New Roman"/>
                <w:sz w:val="21"/>
                <w:szCs w:val="21"/>
                <w:color w:val="auto"/>
                <w:w w:val="96"/>
                <w:vertAlign w:val="superscript"/>
              </w:rPr>
              <w:t>(4)</w:t>
            </w:r>
          </w:p>
        </w:tc>
        <w:tc>
          <w:tcPr>
            <w:tcW w:w="120" w:type="dxa"/>
            <w:vAlign w:val="bottom"/>
            <w:shd w:val="clear" w:color="auto" w:fill="CFF0FA"/>
          </w:tcPr>
          <w:p>
            <w:pPr>
              <w:spacing w:after="0"/>
              <w:rPr>
                <w:sz w:val="16"/>
                <w:szCs w:val="16"/>
                <w:color w:val="auto"/>
              </w:rPr>
            </w:pPr>
          </w:p>
        </w:tc>
        <w:tc>
          <w:tcPr>
            <w:tcW w:w="1480" w:type="dxa"/>
            <w:vAlign w:val="bottom"/>
            <w:shd w:val="clear" w:color="auto" w:fill="CFF0FA"/>
          </w:tcPr>
          <w:p>
            <w:pPr>
              <w:spacing w:after="0"/>
              <w:rPr>
                <w:sz w:val="16"/>
                <w:szCs w:val="16"/>
                <w:color w:val="auto"/>
              </w:rPr>
            </w:pPr>
          </w:p>
        </w:tc>
        <w:tc>
          <w:tcPr>
            <w:tcW w:w="100" w:type="dxa"/>
            <w:vAlign w:val="bottom"/>
            <w:shd w:val="clear" w:color="auto" w:fill="CFF0FA"/>
          </w:tcPr>
          <w:p>
            <w:pPr>
              <w:spacing w:after="0"/>
              <w:rPr>
                <w:sz w:val="16"/>
                <w:szCs w:val="16"/>
                <w:color w:val="auto"/>
              </w:rPr>
            </w:pPr>
          </w:p>
        </w:tc>
        <w:tc>
          <w:tcPr>
            <w:tcW w:w="800" w:type="dxa"/>
            <w:vAlign w:val="bottom"/>
            <w:shd w:val="clear" w:color="auto" w:fill="CFF0FA"/>
          </w:tcPr>
          <w:p>
            <w:pPr>
              <w:spacing w:after="0"/>
              <w:rPr>
                <w:sz w:val="16"/>
                <w:szCs w:val="16"/>
                <w:color w:val="auto"/>
              </w:rPr>
            </w:pPr>
          </w:p>
        </w:tc>
        <w:tc>
          <w:tcPr>
            <w:tcW w:w="100" w:type="dxa"/>
            <w:vAlign w:val="bottom"/>
            <w:shd w:val="clear" w:color="auto" w:fill="CFF0FA"/>
          </w:tcPr>
          <w:p>
            <w:pPr>
              <w:spacing w:after="0"/>
              <w:rPr>
                <w:sz w:val="16"/>
                <w:szCs w:val="16"/>
                <w:color w:val="auto"/>
              </w:rPr>
            </w:pPr>
          </w:p>
        </w:tc>
        <w:tc>
          <w:tcPr>
            <w:tcW w:w="780" w:type="dxa"/>
            <w:vAlign w:val="bottom"/>
            <w:shd w:val="clear" w:color="auto" w:fill="CFF0FA"/>
          </w:tcPr>
          <w:p>
            <w:pPr>
              <w:spacing w:after="0"/>
              <w:rPr>
                <w:sz w:val="16"/>
                <w:szCs w:val="16"/>
                <w:color w:val="auto"/>
              </w:rPr>
            </w:pPr>
          </w:p>
        </w:tc>
        <w:tc>
          <w:tcPr>
            <w:tcW w:w="1440" w:type="dxa"/>
            <w:vAlign w:val="bottom"/>
            <w:gridSpan w:val="2"/>
            <w:vMerge w:val="restart"/>
            <w:shd w:val="clear" w:color="auto" w:fill="CFF0FA"/>
          </w:tcPr>
          <w:p>
            <w:pPr>
              <w:jc w:val="center"/>
              <w:ind w:left="39"/>
              <w:spacing w:after="0"/>
              <w:rPr>
                <w:sz w:val="20"/>
                <w:szCs w:val="20"/>
                <w:color w:val="auto"/>
              </w:rPr>
            </w:pPr>
            <w:r>
              <w:rPr>
                <w:rFonts w:ascii="Times New Roman" w:cs="Times New Roman" w:eastAsia="Times New Roman" w:hAnsi="Times New Roman"/>
                <w:sz w:val="16"/>
                <w:szCs w:val="16"/>
                <w:color w:val="auto"/>
                <w:w w:val="94"/>
              </w:rPr>
              <w:t>3,990,000</w:t>
            </w:r>
            <w:r>
              <w:rPr>
                <w:rFonts w:ascii="Times New Roman" w:cs="Times New Roman" w:eastAsia="Times New Roman" w:hAnsi="Times New Roman"/>
                <w:sz w:val="21"/>
                <w:szCs w:val="21"/>
                <w:color w:val="auto"/>
                <w:w w:val="94"/>
                <w:vertAlign w:val="superscript"/>
              </w:rPr>
              <w:t>(5)</w:t>
            </w:r>
          </w:p>
        </w:tc>
        <w:tc>
          <w:tcPr>
            <w:tcW w:w="120" w:type="dxa"/>
            <w:vAlign w:val="bottom"/>
            <w:shd w:val="clear" w:color="auto" w:fill="CFF0FA"/>
          </w:tcPr>
          <w:p>
            <w:pPr>
              <w:spacing w:after="0"/>
              <w:rPr>
                <w:sz w:val="16"/>
                <w:szCs w:val="16"/>
                <w:color w:val="auto"/>
              </w:rPr>
            </w:pPr>
          </w:p>
        </w:tc>
        <w:tc>
          <w:tcPr>
            <w:tcW w:w="1560" w:type="dxa"/>
            <w:vAlign w:val="bottom"/>
            <w:shd w:val="clear" w:color="auto" w:fill="CFF0F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ind w:left="120"/>
              <w:spacing w:after="0"/>
              <w:rPr>
                <w:sz w:val="20"/>
                <w:szCs w:val="20"/>
                <w:color w:val="auto"/>
              </w:rPr>
            </w:pPr>
            <w:r>
              <w:rPr>
                <w:rFonts w:ascii="Times New Roman" w:cs="Times New Roman" w:eastAsia="Times New Roman" w:hAnsi="Times New Roman"/>
                <w:sz w:val="16"/>
                <w:szCs w:val="16"/>
                <w:color w:val="auto"/>
              </w:rPr>
              <w:t>Founder and Director</w:t>
            </w:r>
          </w:p>
        </w:tc>
        <w:tc>
          <w:tcPr>
            <w:tcW w:w="120" w:type="dxa"/>
            <w:vAlign w:val="bottom"/>
            <w:shd w:val="clear" w:color="auto" w:fill="CFF0FA"/>
          </w:tcPr>
          <w:p>
            <w:pPr>
              <w:spacing w:after="0"/>
              <w:rPr>
                <w:sz w:val="18"/>
                <w:szCs w:val="18"/>
                <w:color w:val="auto"/>
              </w:rPr>
            </w:pPr>
          </w:p>
        </w:tc>
        <w:tc>
          <w:tcPr>
            <w:tcW w:w="1120" w:type="dxa"/>
            <w:vAlign w:val="bottom"/>
            <w:vMerge w:val="continue"/>
            <w:shd w:val="clear" w:color="auto" w:fill="CFF0FA"/>
          </w:tcPr>
          <w:p>
            <w:pPr>
              <w:spacing w:after="0"/>
              <w:rPr>
                <w:sz w:val="18"/>
                <w:szCs w:val="18"/>
                <w:color w:val="auto"/>
              </w:rPr>
            </w:pPr>
          </w:p>
        </w:tc>
        <w:tc>
          <w:tcPr>
            <w:tcW w:w="120" w:type="dxa"/>
            <w:vAlign w:val="bottom"/>
            <w:shd w:val="clear" w:color="auto" w:fill="CFF0FA"/>
          </w:tcPr>
          <w:p>
            <w:pPr>
              <w:spacing w:after="0"/>
              <w:rPr>
                <w:sz w:val="18"/>
                <w:szCs w:val="18"/>
                <w:color w:val="auto"/>
              </w:rPr>
            </w:pPr>
          </w:p>
        </w:tc>
        <w:tc>
          <w:tcPr>
            <w:tcW w:w="1580" w:type="dxa"/>
            <w:vAlign w:val="bottom"/>
            <w:gridSpan w:val="2"/>
            <w:shd w:val="clear" w:color="auto" w:fill="CFF0FA"/>
          </w:tcPr>
          <w:p>
            <w:pPr>
              <w:jc w:val="center"/>
              <w:ind w:right="100"/>
              <w:spacing w:after="0"/>
              <w:rPr>
                <w:sz w:val="20"/>
                <w:szCs w:val="20"/>
                <w:color w:val="auto"/>
              </w:rPr>
            </w:pPr>
            <w:r>
              <w:rPr>
                <w:rFonts w:ascii="Times New Roman" w:cs="Times New Roman" w:eastAsia="Times New Roman" w:hAnsi="Times New Roman"/>
                <w:sz w:val="16"/>
                <w:szCs w:val="16"/>
                <w:color w:val="auto"/>
              </w:rPr>
              <w:t>March 4, 2025</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18"/>
                <w:szCs w:val="18"/>
                <w:color w:val="auto"/>
              </w:rPr>
            </w:pPr>
          </w:p>
        </w:tc>
        <w:tc>
          <w:tcPr>
            <w:tcW w:w="780" w:type="dxa"/>
            <w:vAlign w:val="bottom"/>
            <w:shd w:val="clear" w:color="auto" w:fill="CFF0FA"/>
          </w:tcPr>
          <w:p>
            <w:pPr>
              <w:spacing w:after="0"/>
              <w:rPr>
                <w:sz w:val="18"/>
                <w:szCs w:val="18"/>
                <w:color w:val="auto"/>
              </w:rPr>
            </w:pPr>
          </w:p>
        </w:tc>
        <w:tc>
          <w:tcPr>
            <w:tcW w:w="1440" w:type="dxa"/>
            <w:vAlign w:val="bottom"/>
            <w:gridSpan w:val="2"/>
            <w:vMerge w:val="continue"/>
            <w:shd w:val="clear" w:color="auto" w:fill="CFF0FA"/>
          </w:tcPr>
          <w:p>
            <w:pPr>
              <w:spacing w:after="0"/>
              <w:rPr>
                <w:sz w:val="18"/>
                <w:szCs w:val="18"/>
                <w:color w:val="auto"/>
              </w:rPr>
            </w:pPr>
          </w:p>
        </w:tc>
        <w:tc>
          <w:tcPr>
            <w:tcW w:w="120" w:type="dxa"/>
            <w:vAlign w:val="bottom"/>
            <w:shd w:val="clear" w:color="auto" w:fill="CFF0FA"/>
          </w:tcPr>
          <w:p>
            <w:pPr>
              <w:spacing w:after="0"/>
              <w:rPr>
                <w:sz w:val="18"/>
                <w:szCs w:val="18"/>
                <w:color w:val="auto"/>
              </w:rPr>
            </w:pPr>
          </w:p>
        </w:tc>
        <w:tc>
          <w:tcPr>
            <w:tcW w:w="156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July 2, 2026</w:t>
            </w:r>
          </w:p>
        </w:tc>
        <w:tc>
          <w:tcPr>
            <w:tcW w:w="0" w:type="dxa"/>
            <w:vAlign w:val="bottom"/>
          </w:tcPr>
          <w:p>
            <w:pPr>
              <w:spacing w:after="0"/>
              <w:rPr>
                <w:sz w:val="1"/>
                <w:szCs w:val="1"/>
                <w:color w:val="auto"/>
              </w:rPr>
            </w:pPr>
          </w:p>
        </w:tc>
      </w:tr>
      <w:tr>
        <w:trPr>
          <w:trHeight w:val="28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Ryan Bartolucci, Chief Accounting Officer</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Adoption</w:t>
            </w:r>
            <w:r>
              <w:rPr>
                <w:rFonts w:ascii="Times New Roman" w:cs="Times New Roman" w:eastAsia="Times New Roman" w:hAnsi="Times New Roman"/>
                <w:sz w:val="21"/>
                <w:szCs w:val="21"/>
                <w:color w:val="auto"/>
                <w:w w:val="93"/>
                <w:vertAlign w:val="superscript"/>
              </w:rPr>
              <w:t>(6)</w:t>
            </w: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14,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To Be Determined</w:t>
            </w:r>
            <w:r>
              <w:rPr>
                <w:rFonts w:ascii="Times New Roman" w:cs="Times New Roman" w:eastAsia="Times New Roman" w:hAnsi="Times New Roman"/>
                <w:sz w:val="21"/>
                <w:szCs w:val="21"/>
                <w:color w:val="auto"/>
                <w:w w:val="97"/>
                <w:vertAlign w:val="superscript"/>
              </w:rPr>
              <w:t>(7)</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 2026</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500" w:firstLine="8"/>
        <w:spacing w:after="0" w:line="261" w:lineRule="auto"/>
        <w:tabs>
          <w:tab w:leader="none" w:pos="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ind w:left="520" w:right="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under this Rule 10b5-1 trading plan were completed in the first quarter of 2025 and no additional sales will occur under this trading plan.</w:t>
      </w:r>
    </w:p>
    <w:p>
      <w:pPr>
        <w:ind w:left="520" w:right="4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under this Rule 10b5-1 trading plan will not commence until completion of the required cooling off period under Rule 10b5-1 and the conclusion of Mr. Lefkofsky’s prior Rule 10b5-1 trading plan.</w:t>
      </w:r>
    </w:p>
    <w:p>
      <w:pPr>
        <w:ind w:left="520" w:right="40" w:hanging="512"/>
        <w:spacing w:after="0" w:line="250" w:lineRule="auto"/>
        <w:tabs>
          <w:tab w:leader="none" w:pos="520" w:val="left"/>
        </w:tabs>
        <w:numPr>
          <w:ilvl w:val="0"/>
          <w:numId w:val="3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Represents the adoption of a Rule 10b5-1 trading plan by each of Blue Media, LLC and Gray Media, LLC, each an entity controlled by Mr. Lefkofsky, providing for the sale of up to 1,596,000 shares of Class A common stock held by Blue Media, LLC and up to 399,000 shares of Class A common stock held by Gray Media, LLC.</w:t>
      </w:r>
    </w:p>
    <w:p>
      <w:pPr>
        <w:spacing w:after="0" w:line="1" w:lineRule="exact"/>
        <w:rPr>
          <w:rFonts w:ascii="Times New Roman" w:cs="Times New Roman" w:eastAsia="Times New Roman" w:hAnsi="Times New Roman"/>
          <w:sz w:val="18"/>
          <w:szCs w:val="18"/>
          <w:color w:val="212529"/>
        </w:rPr>
      </w:pPr>
    </w:p>
    <w:p>
      <w:pPr>
        <w:ind w:left="520" w:right="30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modification, as described in Rule 10b5-1(c)(1)(iv) under the Exchange Act, of the written plan adopted on February 27, 2025, as described above, that was intended to satisfy the affirmative defense conditions of Rule 10b5-1(c) under the Exchange Act.</w:t>
      </w:r>
    </w:p>
    <w:p>
      <w:pPr>
        <w:ind w:left="520" w:right="4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Rule 10b5-1 trading plan adopted by each of Blue Media, LLC and Gray Media, LLC, each an entity controlled by Mr. Lefkofsky, provides for the sale of up to 3,192,000 shares of Class A common stock held by Blue Media, LLC and up to 798,000 shares of Class A common stock held by Gray Media, LLC.</w:t>
      </w:r>
    </w:p>
    <w:p>
      <w:pPr>
        <w:spacing w:after="0" w:line="1" w:lineRule="exact"/>
        <w:rPr>
          <w:rFonts w:ascii="Times New Roman" w:cs="Times New Roman" w:eastAsia="Times New Roman" w:hAnsi="Times New Roman"/>
          <w:sz w:val="18"/>
          <w:szCs w:val="18"/>
          <w:color w:val="auto"/>
        </w:rPr>
      </w:pPr>
    </w:p>
    <w:p>
      <w:pPr>
        <w:ind w:left="520" w:right="48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under this Rule 10b5-1 trading plan will not commence until completion of the required cooling off period under Rule 10b5-1 and the conclusion of Mr. Bartolucci’s prior Rule 10b5-1 trading plan.</w:t>
      </w:r>
    </w:p>
    <w:p>
      <w:pPr>
        <w:ind w:left="520" w:right="60" w:hanging="512"/>
        <w:spacing w:after="0" w:line="253"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Rule 10b5-1 trading plan provides for sales of up to 100% of the net number of shares received upon vesting of an aggregate of 30,414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1008" w:right="339" w:bottom="1440" w:gutter="0" w:footer="0" w:header="0"/>
        </w:sectPr>
      </w:pPr>
    </w:p>
    <w:p>
      <w:pPr>
        <w:spacing w:after="0" w:line="3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26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7620</wp:posOffset>
            </wp:positionV>
            <wp:extent cx="26917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30" w:lineRule="exact"/>
        <w:rPr>
          <w:sz w:val="20"/>
          <w:szCs w:val="20"/>
          <w:color w:val="auto"/>
        </w:rPr>
      </w:pPr>
    </w:p>
    <w:p>
      <w:pPr>
        <w:spacing w:after="0"/>
        <w:tabs>
          <w:tab w:leader="none" w:pos="3780" w:val="left"/>
          <w:tab w:leader="none" w:pos="4680" w:val="left"/>
          <w:tab w:leader="none" w:pos="5620" w:val="left"/>
          <w:tab w:leader="none" w:pos="6740" w:val="left"/>
        </w:tabs>
        <w:rPr>
          <w:sz w:val="20"/>
          <w:szCs w:val="20"/>
          <w:color w:val="auto"/>
        </w:rPr>
      </w:pPr>
      <w:r>
        <w:rPr>
          <w:rFonts w:ascii="Times New Roman" w:cs="Times New Roman" w:eastAsia="Times New Roman" w:hAnsi="Times New Roman"/>
          <w:sz w:val="14"/>
          <w:szCs w:val="14"/>
          <w:b w:val="1"/>
          <w:bCs w:val="1"/>
          <w:color w:val="auto"/>
        </w:rPr>
        <w:t>Description of Exhibit</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7620</wp:posOffset>
            </wp:positionV>
            <wp:extent cx="36429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2620" w:space="720"/>
            <w:col w:w="7900"/>
          </w:cols>
          <w:pgMar w:left="320" w:top="10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Amended and Restated Certificate of Incorporation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1915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191510" cy="8255"/>
                    </a:xfrm>
                    <a:prstGeom prst="rect">
                      <a:avLst/>
                    </a:prstGeom>
                    <a:noFill/>
                  </pic:spPr>
                </pic:pic>
              </a:graphicData>
            </a:graphic>
          </wp:anchor>
        </w:drawing>
      </w:r>
    </w:p>
    <w:p>
      <w:pPr>
        <w:spacing w:after="0" w:line="11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Amended and Restated Bylaws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2783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2278380" cy="8255"/>
                    </a:xfrm>
                    <a:prstGeom prst="rect">
                      <a:avLst/>
                    </a:prstGeom>
                    <a:noFill/>
                  </pic:spPr>
                </pic:pic>
              </a:graphicData>
            </a:graphic>
          </wp:anchor>
        </w:drawing>
      </w:r>
    </w:p>
    <w:p>
      <w:pPr>
        <w:spacing w:after="0" w:line="111" w:lineRule="exact"/>
        <w:rPr>
          <w:sz w:val="20"/>
          <w:szCs w:val="20"/>
          <w:color w:val="auto"/>
        </w:rPr>
      </w:pPr>
    </w:p>
    <w:p>
      <w:pPr>
        <w:spacing w:after="0" w:line="258"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Third Amendment to Credit Agreement and First Amendment to Guarantee</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and Collateral Agreement, dated as of February 3, 2025, by and among the</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Company, certain subsidiaries of the Company party thereto, the lenders party</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thereto, Ares Capital Corporation, as administrative agent and ACF Finco I</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LP, as revolving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-582930</wp:posOffset>
            </wp:positionV>
            <wp:extent cx="34836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34836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-445770</wp:posOffset>
            </wp:positionV>
            <wp:extent cx="34455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445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-308610</wp:posOffset>
            </wp:positionV>
            <wp:extent cx="35979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35979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-171450</wp:posOffset>
            </wp:positionV>
            <wp:extent cx="34683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4683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10566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6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001-42130</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326"/>
        </w:trPr>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001-42130</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2024</w:t>
            </w:r>
          </w:p>
        </w:tc>
      </w:tr>
      <w:tr>
        <w:trPr>
          <w:trHeight w:val="823"/>
        </w:trPr>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001-42130</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bl>
    <w:p>
      <w:pPr>
        <w:spacing w:after="0" w:line="481"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00" w:space="720"/>
            <w:col w:w="5620" w:space="160"/>
            <w:col w:w="4240"/>
          </w:cols>
          <w:pgMar w:left="320" w:top="1008" w:right="339" w:bottom="1440" w:gutter="0" w:footer="0" w:header="0"/>
          <w:type w:val="continuous"/>
        </w:sectPr>
      </w:pPr>
    </w:p>
    <w:p>
      <w:pPr>
        <w:spacing w:after="0" w:line="16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18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4480"/>
        <w:spacing w:after="0" w:line="282" w:lineRule="auto"/>
        <w:rPr>
          <w:sz w:val="20"/>
          <w:szCs w:val="20"/>
          <w:color w:val="auto"/>
        </w:rPr>
      </w:pPr>
      <w:r>
        <w:rPr>
          <w:rFonts w:ascii="Times New Roman" w:cs="Times New Roman" w:eastAsia="Times New Roman" w:hAnsi="Times New Roman"/>
          <w:sz w:val="18"/>
          <w:szCs w:val="18"/>
          <w:u w:val="single" w:color="auto"/>
          <w:color w:val="0000FF"/>
        </w:rPr>
        <w:t>Forms of Restricted Stock Award Grant Notice and Award Agreement under the Registrant’s 2024 Equity Incentive Plan.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5439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5439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0243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2024380" cy="8255"/>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-7620</wp:posOffset>
            </wp:positionV>
            <wp:extent cx="34169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3614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9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00" w:space="720"/>
            <w:col w:w="10020"/>
          </w:cols>
          <w:pgMar w:left="320" w:top="10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w:t>
            </w:r>
          </w:p>
        </w:tc>
        <w:tc>
          <w:tcPr>
            <w:tcW w:w="28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460" w:type="dxa"/>
            <w:vAlign w:val="bottom"/>
            <w:gridSpan w:val="3"/>
          </w:tcPr>
          <w:p>
            <w:pPr>
              <w:spacing w:after="0"/>
              <w:rPr>
                <w:sz w:val="17"/>
                <w:szCs w:val="17"/>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1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5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 the</w:t>
            </w:r>
          </w:p>
        </w:tc>
      </w:tr>
      <w:tr>
        <w:trPr>
          <w:trHeight w:val="196"/>
        </w:trPr>
        <w:tc>
          <w:tcPr>
            <w:tcW w:w="122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3480" w:type="dxa"/>
            <w:vAlign w:val="bottom"/>
            <w:gridSpan w:val="4"/>
          </w:tcPr>
          <w:p>
            <w:pPr>
              <w:spacing w:after="0"/>
              <w:rPr>
                <w:sz w:val="17"/>
                <w:szCs w:val="17"/>
                <w:color w:val="auto"/>
              </w:rPr>
            </w:pPr>
          </w:p>
        </w:tc>
      </w:tr>
      <w:tr>
        <w:trPr>
          <w:trHeight w:val="34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r>
      <w:tr>
        <w:trPr>
          <w:trHeight w:val="216"/>
        </w:trPr>
        <w:tc>
          <w:tcPr>
            <w:tcW w:w="122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Interactive Data File as its XBRL tags are embedded within the Inline</w:t>
            </w:r>
          </w:p>
        </w:tc>
      </w:tr>
      <w:tr>
        <w:trPr>
          <w:trHeight w:val="234"/>
        </w:trPr>
        <w:tc>
          <w:tcPr>
            <w:tcW w:w="1220" w:type="dxa"/>
            <w:vAlign w:val="bottom"/>
          </w:tcPr>
          <w:p>
            <w:pPr>
              <w:spacing w:after="0"/>
              <w:rPr>
                <w:sz w:val="20"/>
                <w:szCs w:val="20"/>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19"/>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r>
      <w:tr>
        <w:trPr>
          <w:trHeight w:val="234"/>
        </w:trPr>
        <w:tc>
          <w:tcPr>
            <w:tcW w:w="1220" w:type="dxa"/>
            <w:vAlign w:val="bottom"/>
          </w:tcPr>
          <w:p>
            <w:pPr>
              <w:spacing w:after="0"/>
              <w:rPr>
                <w:sz w:val="20"/>
                <w:szCs w:val="20"/>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19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u w:val="single" w:color="auto"/>
          <w:color w:val="0000FF"/>
        </w:rPr>
      </w:pPr>
    </w:p>
    <w:p>
      <w:pPr>
        <w:ind w:right="100" w:firstLine="8"/>
        <w:spacing w:after="0" w:line="260" w:lineRule="auto"/>
        <w:tabs>
          <w:tab w:leader="none" w:pos="1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18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Eric Lefkofsky</w:t>
            </w:r>
          </w:p>
        </w:tc>
      </w:tr>
      <w:tr>
        <w:trPr>
          <w:trHeight w:val="191"/>
        </w:trPr>
        <w:tc>
          <w:tcPr>
            <w:tcW w:w="3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Lefkofsky</w:t>
            </w:r>
          </w:p>
        </w:tc>
      </w:tr>
      <w:tr>
        <w:trPr>
          <w:trHeight w:val="214"/>
        </w:trPr>
        <w:tc>
          <w:tcPr>
            <w:tcW w:w="3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r>
        <w:trPr>
          <w:trHeight w:val="236"/>
        </w:trPr>
        <w:tc>
          <w:tcPr>
            <w:tcW w:w="3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James Rogers</w:t>
            </w:r>
          </w:p>
        </w:tc>
      </w:tr>
      <w:tr>
        <w:trPr>
          <w:trHeight w:val="191"/>
        </w:trPr>
        <w:tc>
          <w:tcPr>
            <w:tcW w:w="3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Rogers</w:t>
            </w:r>
          </w:p>
        </w:tc>
      </w:tr>
      <w:tr>
        <w:trPr>
          <w:trHeight w:val="214"/>
        </w:trPr>
        <w:tc>
          <w:tcPr>
            <w:tcW w:w="3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48"/>
        </w:trPr>
        <w:tc>
          <w:tcPr>
            <w:tcW w:w="3440" w:type="dxa"/>
            <w:vAlign w:val="bottom"/>
          </w:tcPr>
          <w:p>
            <w:pPr>
              <w:spacing w:after="0"/>
              <w:rPr>
                <w:sz w:val="24"/>
                <w:szCs w:val="24"/>
                <w:color w:val="auto"/>
              </w:rPr>
            </w:pPr>
          </w:p>
        </w:tc>
        <w:tc>
          <w:tcPr>
            <w:tcW w:w="3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51</w:t>
            </w:r>
          </w:p>
        </w:tc>
        <w:tc>
          <w:tcPr>
            <w:tcW w:w="468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w:t>
      </w:r>
      <w:r>
        <w:rPr>
          <w:rFonts w:ascii="Times New Roman" w:cs="Times New Roman" w:eastAsia="Times New Roman" w:hAnsi="Times New Roman"/>
          <w:sz w:val="17"/>
          <w:szCs w:val="17"/>
          <w:b w:val="1"/>
          <w:bCs w:val="1"/>
          <w:color w:val="auto"/>
        </w:rPr>
        <w:t>empus</w:t>
      </w:r>
      <w:r>
        <w:rPr>
          <w:rFonts w:ascii="Times New Roman" w:cs="Times New Roman" w:eastAsia="Times New Roman" w:hAnsi="Times New Roman"/>
          <w:sz w:val="25"/>
          <w:szCs w:val="25"/>
          <w:b w:val="1"/>
          <w:bCs w:val="1"/>
          <w:color w:val="auto"/>
        </w:rPr>
        <w:t xml:space="preserve"> AI,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R</w:t>
      </w:r>
      <w:r>
        <w:rPr>
          <w:rFonts w:ascii="Times New Roman" w:cs="Times New Roman" w:eastAsia="Times New Roman" w:hAnsi="Times New Roman"/>
          <w:sz w:val="18"/>
          <w:szCs w:val="18"/>
          <w:b w:val="1"/>
          <w:bCs w:val="1"/>
          <w:color w:val="auto"/>
        </w:rPr>
        <w:t>estricted</w:t>
      </w:r>
      <w:r>
        <w:rPr>
          <w:rFonts w:ascii="Times New Roman" w:cs="Times New Roman" w:eastAsia="Times New Roman" w:hAnsi="Times New Roman"/>
          <w:sz w:val="26"/>
          <w:szCs w:val="26"/>
          <w:b w:val="1"/>
          <w:bCs w:val="1"/>
          <w:color w:val="auto"/>
        </w:rPr>
        <w:t xml:space="preserve"> S</w:t>
      </w:r>
      <w:r>
        <w:rPr>
          <w:rFonts w:ascii="Times New Roman" w:cs="Times New Roman" w:eastAsia="Times New Roman" w:hAnsi="Times New Roman"/>
          <w:sz w:val="18"/>
          <w:szCs w:val="18"/>
          <w:b w:val="1"/>
          <w:bCs w:val="1"/>
          <w:color w:val="auto"/>
        </w:rPr>
        <w:t>tock</w:t>
      </w:r>
      <w:r>
        <w:rPr>
          <w:rFonts w:ascii="Times New Roman" w:cs="Times New Roman" w:eastAsia="Times New Roman" w:hAnsi="Times New Roman"/>
          <w:sz w:val="26"/>
          <w:szCs w:val="26"/>
          <w:b w:val="1"/>
          <w:bCs w:val="1"/>
          <w:color w:val="auto"/>
        </w:rPr>
        <w:t xml:space="preserve"> A</w:t>
      </w:r>
      <w:r>
        <w:rPr>
          <w:rFonts w:ascii="Times New Roman" w:cs="Times New Roman" w:eastAsia="Times New Roman" w:hAnsi="Times New Roman"/>
          <w:sz w:val="18"/>
          <w:szCs w:val="18"/>
          <w:b w:val="1"/>
          <w:bCs w:val="1"/>
          <w:color w:val="auto"/>
        </w:rPr>
        <w:t>ward</w:t>
      </w:r>
      <w:r>
        <w:rPr>
          <w:rFonts w:ascii="Times New Roman" w:cs="Times New Roman" w:eastAsia="Times New Roman" w:hAnsi="Times New Roman"/>
          <w:sz w:val="26"/>
          <w:szCs w:val="26"/>
          <w:b w:val="1"/>
          <w:bCs w:val="1"/>
          <w:color w:val="auto"/>
        </w:rPr>
        <w:t xml:space="preserve"> </w:t>
      </w:r>
      <w:r>
        <w:rPr>
          <w:rFonts w:ascii="Times New Roman" w:cs="Times New Roman" w:eastAsia="Times New Roman" w:hAnsi="Times New Roman"/>
          <w:sz w:val="25"/>
          <w:szCs w:val="25"/>
          <w:b w:val="1"/>
          <w:bCs w:val="1"/>
          <w:color w:val="auto"/>
        </w:rPr>
        <w:t>G</w:t>
      </w:r>
      <w:r>
        <w:rPr>
          <w:rFonts w:ascii="Times New Roman" w:cs="Times New Roman" w:eastAsia="Times New Roman" w:hAnsi="Times New Roman"/>
          <w:sz w:val="17"/>
          <w:szCs w:val="17"/>
          <w:b w:val="1"/>
          <w:bCs w:val="1"/>
          <w:color w:val="auto"/>
        </w:rPr>
        <w:t>rant</w:t>
      </w:r>
      <w:r>
        <w:rPr>
          <w:rFonts w:ascii="Times New Roman" w:cs="Times New Roman" w:eastAsia="Times New Roman" w:hAnsi="Times New Roman"/>
          <w:sz w:val="26"/>
          <w:szCs w:val="26"/>
          <w:b w:val="1"/>
          <w:bCs w:val="1"/>
          <w:color w:val="auto"/>
        </w:rPr>
        <w:t xml:space="preserve"> </w:t>
      </w:r>
      <w:r>
        <w:rPr>
          <w:rFonts w:ascii="Times New Roman" w:cs="Times New Roman" w:eastAsia="Times New Roman" w:hAnsi="Times New Roman"/>
          <w:sz w:val="25"/>
          <w:szCs w:val="25"/>
          <w:b w:val="1"/>
          <w:bCs w:val="1"/>
          <w:color w:val="auto"/>
        </w:rPr>
        <w:t>N</w:t>
      </w:r>
      <w:r>
        <w:rPr>
          <w:rFonts w:ascii="Times New Roman" w:cs="Times New Roman" w:eastAsia="Times New Roman" w:hAnsi="Times New Roman"/>
          <w:sz w:val="17"/>
          <w:szCs w:val="17"/>
          <w:b w:val="1"/>
          <w:bCs w:val="1"/>
          <w:color w:val="auto"/>
        </w:rPr>
        <w:t>otice</w:t>
      </w:r>
    </w:p>
    <w:p>
      <w:pPr>
        <w:jc w:val="center"/>
        <w:spacing w:after="0"/>
        <w:rPr>
          <w:sz w:val="20"/>
          <w:szCs w:val="20"/>
          <w:color w:val="auto"/>
        </w:rPr>
      </w:pPr>
      <w:r>
        <w:rPr>
          <w:rFonts w:ascii="Times New Roman" w:cs="Times New Roman" w:eastAsia="Times New Roman" w:hAnsi="Times New Roman"/>
          <w:sz w:val="22"/>
          <w:szCs w:val="22"/>
          <w:b w:val="1"/>
          <w:bCs w:val="1"/>
          <w:color w:val="auto"/>
        </w:rPr>
        <w:t>(2024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shares of Common Stock specified and on the terms set forth below in consideration of your services (the “</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Your Restricted Stock Award is subject to all of the terms and conditions as set forth herein and in the Company’s 2024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including the form of Assignment Separate from Certificate and the form of Joint Escrow Instructions, all of which are available by logging into your [_________] brokerage</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account and which are incorporated herein in their entirety. Capitalized terms not explicitly defined herein but defined in the Plan or the Agreement shall have the meanings set forth in the Plan or the Agreement.</w:t>
      </w:r>
    </w:p>
    <w:p>
      <w:pPr>
        <w:spacing w:after="0" w:line="18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Participant:</w:t>
        <w:tab/>
        <w:t>###PARTICIPANT_NAME###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15995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 ###GRANT_DATE###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-19050</wp:posOffset>
            </wp:positionV>
            <wp:extent cx="11423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tabs>
          <w:tab w:leader="none" w:pos="2500" w:val="left"/>
        </w:tabs>
        <w:rPr>
          <w:sz w:val="20"/>
          <w:szCs w:val="20"/>
          <w:color w:val="auto"/>
        </w:rPr>
      </w:pPr>
      <w:r>
        <w:rPr>
          <w:rFonts w:ascii="Times New Roman" w:cs="Times New Roman" w:eastAsia="Times New Roman" w:hAnsi="Times New Roman"/>
          <w:sz w:val="18"/>
          <w:szCs w:val="18"/>
          <w:color w:val="auto"/>
        </w:rPr>
        <w:t>Vesting Commencement Date:</w:t>
      </w:r>
      <w:r>
        <w:rPr>
          <w:sz w:val="20"/>
          <w:szCs w:val="20"/>
          <w:color w:val="auto"/>
        </w:rPr>
        <w:tab/>
      </w:r>
      <w:r>
        <w:rPr>
          <w:rFonts w:ascii="Times New Roman" w:cs="Times New Roman" w:eastAsia="Times New Roman" w:hAnsi="Times New Roman"/>
          <w:sz w:val="18"/>
          <w:szCs w:val="18"/>
          <w:color w:val="auto"/>
        </w:rPr>
        <w:t>###ALTERNATIVE_VEST_BASE_DATE###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-19050</wp:posOffset>
            </wp:positionV>
            <wp:extent cx="22847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2847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Number of Shares Subject to Restricted Stock Award: ###TOTAL_AWARDS###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-19050</wp:posOffset>
            </wp:positionV>
            <wp:extent cx="13709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Consideration:</w:t>
      </w:r>
      <w:r>
        <w:rPr>
          <w:sz w:val="20"/>
          <w:szCs w:val="20"/>
          <w:color w:val="auto"/>
        </w:rPr>
        <w:tab/>
      </w:r>
      <w:r>
        <w:rPr>
          <w:rFonts w:ascii="Times New Roman" w:cs="Times New Roman" w:eastAsia="Times New Roman" w:hAnsi="Times New Roman"/>
          <w:sz w:val="18"/>
          <w:szCs w:val="18"/>
          <w:color w:val="auto"/>
        </w:rPr>
        <w:t>Participant’s services</w:t>
      </w:r>
    </w:p>
    <w:p>
      <w:pPr>
        <w:spacing w:after="0" w:line="203" w:lineRule="exact"/>
        <w:rPr>
          <w:sz w:val="20"/>
          <w:szCs w:val="20"/>
          <w:color w:val="auto"/>
        </w:rPr>
      </w:pPr>
    </w:p>
    <w:p>
      <w:pPr>
        <w:jc w:val="both"/>
        <w:ind w:left="1880" w:hanging="1851"/>
        <w:spacing w:after="0" w:line="262" w:lineRule="auto"/>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[The Restricted Stock Award will vest in substantially equal monthly installments (rounded down to the nearest whole share,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last vesting installment) over the twenty-four (24) months following the Vesting Commencement Date on the same day of the month as the Vesting Commencement Date (or if there is no corresponding day, on the last day of the month), subject to the Participant’s Continuous Service with the Company through each applicable vesting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electronic acceptance of the Restricted Stock Award via your [_________] brokerage account, you understand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agree that:</w:t>
      </w:r>
    </w:p>
    <w:p>
      <w:pPr>
        <w:spacing w:after="0" w:line="95" w:lineRule="exact"/>
        <w:rPr>
          <w:sz w:val="20"/>
          <w:szCs w:val="20"/>
          <w:color w:val="auto"/>
        </w:rPr>
      </w:pPr>
    </w:p>
    <w:p>
      <w:pPr>
        <w:jc w:val="both"/>
        <w:ind w:left="760" w:hanging="378"/>
        <w:spacing w:after="0" w:line="26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Award is governed by this Restricted Stock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72"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Plan, the Agreement and Prospectus for the Plan are available via your [________] brokerage account and may be viewed and printed by you. You consent to receive this Grant Notice, the Plan, the Agreement, the Prospectus and any other Plan-related documents by electronic delivery and to participate in the Plan through an on-line or electronic system established and maintained by the Company or another third party designated by the Company.</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Restricted Stock Award Agreement and the Prospectus. In the event of any conflict between the provisions in the Restricted Stock Award Agreement, or the Prospectus and the terms of the Plan, the terms of the Plan shall control.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Restricted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5"/>
          <w:szCs w:val="25"/>
          <w:b w:val="1"/>
          <w:bCs w:val="1"/>
          <w:color w:val="auto"/>
        </w:rPr>
        <w:t>T</w:t>
      </w:r>
      <w:r>
        <w:rPr>
          <w:rFonts w:ascii="Times New Roman" w:cs="Times New Roman" w:eastAsia="Times New Roman" w:hAnsi="Times New Roman"/>
          <w:sz w:val="17"/>
          <w:szCs w:val="17"/>
          <w:b w:val="1"/>
          <w:bCs w:val="1"/>
          <w:color w:val="auto"/>
        </w:rPr>
        <w:t>empus</w:t>
      </w:r>
      <w:r>
        <w:rPr>
          <w:rFonts w:ascii="Times New Roman" w:cs="Times New Roman" w:eastAsia="Times New Roman" w:hAnsi="Times New Roman"/>
          <w:sz w:val="25"/>
          <w:szCs w:val="25"/>
          <w:b w:val="1"/>
          <w:bCs w:val="1"/>
          <w:color w:val="auto"/>
        </w:rPr>
        <w:t xml:space="preserve"> AI,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estricted</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As reflected by your Restricted Stock Award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in consideration for your services to the Company, a Restricted Stock Award under its 2024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shares of Common Stock as indicated in your Grant Notice (the “</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The terms of your Restricted Stock Award as specified in this Award Agreement for your Restricted Stock Award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terms applicable to your Restricted Stock Award are as follows:</w:t>
      </w:r>
    </w:p>
    <w:p>
      <w:pPr>
        <w:spacing w:after="0" w:line="202" w:lineRule="exact"/>
        <w:rPr>
          <w:sz w:val="20"/>
          <w:szCs w:val="20"/>
          <w:color w:val="auto"/>
        </w:rPr>
      </w:pPr>
    </w:p>
    <w:p>
      <w:pPr>
        <w:ind w:firstLine="757"/>
        <w:spacing w:after="0" w:line="262" w:lineRule="auto"/>
        <w:tabs>
          <w:tab w:leader="none" w:pos="101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Restricted Stock Award is subject to all the provisions of the Plan, including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limited to the provisions in:</w:t>
      </w:r>
    </w:p>
    <w:p>
      <w:pPr>
        <w:spacing w:after="0" w:line="15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 of the Plan regarding the impact of a Capitalization Adjustment, dissolution, liquidation, or Corporate Transaction on your Restricted Stock Award;</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9(e) of the Plan regarding the Company’s retained rights to terminate your Continuous Service notwithstanding the grant of the Restricted Stock Award; and</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8 of the Plan regarding the tax consequences of your Restricted Stock Award.</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Restricted Stock Award is further subject to all interpretations, amendments, rules and regulations, which may from time to time be promulgated and adopted pursuant to the Plan. In the event of any conflict between the Restricted Stock Award Agreement and the provisions of the Plan, the provisions of the Plan shall control.</w:t>
      </w:r>
    </w:p>
    <w:p>
      <w:pPr>
        <w:spacing w:after="0" w:line="169" w:lineRule="exact"/>
        <w:rPr>
          <w:sz w:val="20"/>
          <w:szCs w:val="20"/>
          <w:color w:val="auto"/>
        </w:rPr>
      </w:pPr>
    </w:p>
    <w:p>
      <w:pPr>
        <w:ind w:firstLine="757"/>
        <w:spacing w:after="0" w:line="262" w:lineRule="auto"/>
        <w:tabs>
          <w:tab w:leader="none" w:pos="1018"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limitations contained herein, your Restricted Stock Award will vest as provided in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provided that vesting will cease upon the termination of your Continuous Service.</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become entitled to receive payments equal to any cash dividends and other distributions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 corresponding number of shares of Common Stock covered by your Restricted Stock Award. Any such dividends or distributions shall be subject to the same forfeiture restrictions (including the Reacquisition Right defined in Section 5 below) and restrictions on transferability as apply to the shares covered by your Restricted Stock Award with respect to which the dividends or other distributions relate and accordingly, shall be paid at the same time that the corresponding shares are released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1395730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 w:name="page56"/>
    <w:bookmarkEnd w:id="55"/>
    <w:p>
      <w:pPr>
        <w:jc w:val="both"/>
        <w:spacing w:after="0" w:line="236" w:lineRule="auto"/>
        <w:rPr>
          <w:sz w:val="20"/>
          <w:szCs w:val="20"/>
          <w:color w:val="auto"/>
        </w:rPr>
      </w:pPr>
      <w:r>
        <w:rPr>
          <w:rFonts w:ascii="Times New Roman" w:cs="Times New Roman" w:eastAsia="Times New Roman" w:hAnsi="Times New Roman"/>
          <w:sz w:val="22"/>
          <w:szCs w:val="22"/>
          <w:color w:val="auto"/>
        </w:rPr>
        <w:t>Reacquisition Right or other restriction in respect of your vested Restricted Stock Award. To the extent any such dividends or distributions are paid in shares of Common Stock, then you will automatically be granted a corresponding number of additional shares of Common Stock subject to the Restricted Stock Award (the “</w:t>
      </w:r>
      <w:r>
        <w:rPr>
          <w:rFonts w:ascii="Times New Roman" w:cs="Times New Roman" w:eastAsia="Times New Roman" w:hAnsi="Times New Roman"/>
          <w:sz w:val="22"/>
          <w:szCs w:val="22"/>
          <w:b w:val="1"/>
          <w:bCs w:val="1"/>
          <w:i w:val="1"/>
          <w:iCs w:val="1"/>
          <w:color w:val="auto"/>
        </w:rPr>
        <w:t>Dividend Shares</w:t>
      </w:r>
      <w:r>
        <w:rPr>
          <w:rFonts w:ascii="Times New Roman" w:cs="Times New Roman" w:eastAsia="Times New Roman" w:hAnsi="Times New Roman"/>
          <w:sz w:val="22"/>
          <w:szCs w:val="22"/>
          <w:color w:val="auto"/>
        </w:rPr>
        <w:t>”), and further provided that such Dividend Shares shall be subject to the same forfeiture restrictions and restrictions on transferability, and same timing requirements for release of such restrictions/vesting, as apply to the shares subject to the Restricted Stock Award with respect to which the Dividend Shares relate.</w:t>
      </w:r>
    </w:p>
    <w:p>
      <w:pPr>
        <w:spacing w:after="0" w:line="177" w:lineRule="exact"/>
        <w:rPr>
          <w:sz w:val="20"/>
          <w:szCs w:val="20"/>
          <w:color w:val="auto"/>
        </w:rPr>
      </w:pPr>
    </w:p>
    <w:p>
      <w:pPr>
        <w:jc w:val="both"/>
        <w:ind w:firstLine="757"/>
        <w:spacing w:after="0" w:line="238" w:lineRule="auto"/>
        <w:tabs>
          <w:tab w:leader="none" w:pos="101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not be issued any shares of Common Stock under your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unless the shares are either (a) then registered under the Securities Act or (b) the Company has determined that such issuance would be exempt from the registration requirements of the Securities Act. Your Restricted Stock Award must also comply with other applicable laws and regulations governing the Restricted Stock Award, and you will not receive such shares if the Company determines that such receipt would not be in material compliance with such laws and regulations.</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eacquisition</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provided in the Company’s bylaws, as amended from time to time, the Company shall have the right to reacquire all or any part of the shares of Common Stock received pursuant to your Restricted Stock Award (a “</w:t>
      </w:r>
      <w:r>
        <w:rPr>
          <w:rFonts w:ascii="Times New Roman" w:cs="Times New Roman" w:eastAsia="Times New Roman" w:hAnsi="Times New Roman"/>
          <w:sz w:val="22"/>
          <w:szCs w:val="22"/>
          <w:b w:val="1"/>
          <w:bCs w:val="1"/>
          <w:i w:val="1"/>
          <w:iCs w:val="1"/>
          <w:color w:val="auto"/>
        </w:rPr>
        <w:t>Reacquisition Right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a Reacquisition Right is not provided in the Company’s bylaws, as amended from time to time, the Company shall have a Reacquisition Right as to the shares of Common Stock you received pursuant to your Restricted Stock Award that have not yet vested in accordance with the vesting schedule on the Grant Notice (“</w:t>
      </w:r>
      <w:r>
        <w:rPr>
          <w:rFonts w:ascii="Times New Roman" w:cs="Times New Roman" w:eastAsia="Times New Roman" w:hAnsi="Times New Roman"/>
          <w:sz w:val="22"/>
          <w:szCs w:val="22"/>
          <w:b w:val="1"/>
          <w:bCs w:val="1"/>
          <w:i w:val="1"/>
          <w:iCs w:val="1"/>
          <w:color w:val="auto"/>
        </w:rPr>
        <w:t>Unvested Shares</w:t>
      </w:r>
      <w:r>
        <w:rPr>
          <w:rFonts w:ascii="Times New Roman" w:cs="Times New Roman" w:eastAsia="Times New Roman" w:hAnsi="Times New Roman"/>
          <w:sz w:val="22"/>
          <w:szCs w:val="22"/>
          <w:color w:val="auto"/>
        </w:rPr>
        <w:t>”) on the following terms and conditions:</w:t>
      </w:r>
    </w:p>
    <w:p>
      <w:pPr>
        <w:spacing w:after="0" w:line="180"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2"/>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Simultaneously with the termination of your Continuous Service, the Company shall automatically reacquire for no consideration all of the Unvested Shares, unless the Company agrees to waive its Reacquisition Right as to some or all of the Unvested Shares. Any such waiver shall be exercised by the Company by written notice to you or your representative (with a copy to the Escrow Holder, as defined below) within ninety (90) days after the termination of your Continuous Service, and the Escrow Holder may then release to you the number of Unvested Shares not being reacquired by the Company. If the Company does not waive its Reacquisition Right as to all of the Unvested Shares, then upon such termination of your Continuous Service, the Escrow Holder shall transfer to the Company the number of shares of Common Stock the Company is reacquiring.</w:t>
      </w:r>
    </w:p>
    <w:p>
      <w:pPr>
        <w:spacing w:after="0" w:line="178"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2"/>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have the right to reacquire the Unvested Shares upon termination of your Continuous Service for no monetary consideration (that is, for $0.00).</w:t>
      </w:r>
    </w:p>
    <w:p>
      <w:pPr>
        <w:spacing w:after="0" w:line="154" w:lineRule="exact"/>
        <w:rPr>
          <w:sz w:val="20"/>
          <w:szCs w:val="20"/>
          <w:color w:val="auto"/>
        </w:rPr>
      </w:pPr>
    </w:p>
    <w:p>
      <w:pPr>
        <w:ind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shares of Common Stock issued under your Restricted Stock Award shall be held in escrow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the Joint Escrow Instructions attached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1379855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this Agreement as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xml:space="preserve">. You agree to execute two (2) Assignment Separate From Certificate forms (with date and number of shares blank) substantially in the form attached to this Agreement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and deliver the same, along with the certificate or certificates evidencing the shares, for use by the escrow agent pursuant to the terms of the Joint Escrow Instructions.</w:t>
      </w:r>
    </w:p>
    <w:p>
      <w:pPr>
        <w:spacing w:after="0" w:line="151"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Subject to the provisions of the Restricted Stock Award Agreement (including, without limitation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3 above), you shall, during the term of your Restricted Stock Award, exercise all rights and privileges of a stockholder of the Company with respect to the shares deposited in escrow.</w:t>
      </w:r>
    </w:p>
    <w:p>
      <w:pPr>
        <w:spacing w:after="0" w:line="171" w:lineRule="exact"/>
        <w:rPr>
          <w:sz w:val="20"/>
          <w:szCs w:val="20"/>
          <w:color w:val="auto"/>
        </w:rPr>
      </w:pPr>
    </w:p>
    <w:p>
      <w:pPr>
        <w:jc w:val="both"/>
        <w:ind w:firstLine="2254"/>
        <w:spacing w:after="0" w:line="236" w:lineRule="auto"/>
        <w:tabs>
          <w:tab w:leader="none" w:pos="2546"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from time to time, there is any stock dividend, stock split or other change in the character or amount of any of the outstanding stock of the corporation, the stock of which is subject to the provisions of your Restricted Stock Award, then in such event any and all new, substituted or additional securities to which you are entitled by reason of your ownership of the shares of Common Stock acquired under your Restricted Stock Award shall, to the extent they relate to Unvested Shares, be immediately subject to the Reacquisition Right with the same force and effect as the Unvested Shares subject to this Reacquisition Right immediately before such event.</w:t>
      </w:r>
    </w:p>
    <w:p>
      <w:pPr>
        <w:spacing w:after="0" w:line="181"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617"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to any other limitation on transfer created by applicable securities laws, you shall not sell, assign, hypothecate, donate, encumber, or otherwise dispose of any interest in the Common Stock while such shares of Common Stock are subject to the Reacquisition Right or continue to be held in the Joint Escrow.</w:t>
      </w:r>
    </w:p>
    <w:p>
      <w:pPr>
        <w:spacing w:after="0" w:line="169"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estrictive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egends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of Common Stock issued under your Restricted Stock Award shall be endorsed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appropriate legends determined by the Company.</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ward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Restricted Stock Award is not an employment or service contract,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your Restricted Stock Award shall be deemed to create in any way whatsoever any obligation on your part to continue in the employ of the Company or an Affiliate, or on the part of the Company or an Affiliate to continue your employment. In addition, nothing in your Restricted Stock Award shall obligate the Company or an Affiliate, their respective stockholders, boards of directors, Officers or Employees to continue any relationship that you might have as a Director or Consultant for the Company or an Affiliate.</w:t>
      </w:r>
    </w:p>
    <w:p>
      <w:pPr>
        <w:spacing w:after="0" w:line="17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51" w:lineRule="auto"/>
        <w:tabs>
          <w:tab w:leader="none" w:pos="2036" w:val="left"/>
        </w:tabs>
        <w:numPr>
          <w:ilvl w:val="1"/>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 the time your Restricted Stock Award is granted, or at any time thereafter as requested by the Company and as further provided in Section 8 of the Plan,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Restricted Stock Award (the “</w:t>
      </w:r>
      <w:r>
        <w:rPr>
          <w:rFonts w:ascii="Times New Roman" w:cs="Times New Roman" w:eastAsia="Times New Roman" w:hAnsi="Times New Roman"/>
          <w:sz w:val="21"/>
          <w:szCs w:val="21"/>
          <w:b w:val="1"/>
          <w:bCs w:val="1"/>
          <w:i w:val="1"/>
          <w:iCs w:val="1"/>
          <w:color w:val="auto"/>
        </w:rPr>
        <w:t>Withholding Obligation</w:t>
      </w:r>
      <w:r>
        <w:rPr>
          <w:rFonts w:ascii="Times New Roman" w:cs="Times New Roman" w:eastAsia="Times New Roman" w:hAnsi="Times New Roman"/>
          <w:sz w:val="21"/>
          <w:szCs w:val="21"/>
          <w:color w:val="auto"/>
        </w:rPr>
        <w:t>”) in accordance with the withholding procedures established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1388745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7" w:name="page58"/>
    <w:bookmarkEnd w:id="57"/>
    <w:p>
      <w:pPr>
        <w:jc w:val="both"/>
        <w:ind w:firstLine="1505"/>
        <w:spacing w:after="0" w:line="235" w:lineRule="auto"/>
        <w:tabs>
          <w:tab w:leader="none" w:pos="203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the Withholding Obligation is satisfied, the Company shall have no obligation to issue a certificate for such shares of Common Stock or release such shares of Common Stock from any escrow provided for herein. In the event the Withholding Obligation of the Company arises prior to the issuance of a certificate or release of shares of Common Stock from any escrow provided for herein, or it is determined after the issuance of a certificate to you or after the release of shares of Common Stock from any escrow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Times New Roman" w:cs="Times New Roman" w:eastAsia="Times New Roman" w:hAnsi="Times New Roman"/>
          <w:sz w:val="22"/>
          <w:szCs w:val="22"/>
          <w:b w:val="1"/>
          <w:bCs w:val="1"/>
          <w:color w:val="auto"/>
        </w:rPr>
      </w:pPr>
    </w:p>
    <w:p>
      <w:pPr>
        <w:jc w:val="both"/>
        <w:ind w:firstLine="757"/>
        <w:spacing w:after="0" w:line="283" w:lineRule="auto"/>
        <w:tabs>
          <w:tab w:leader="none" w:pos="1018"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Restricted Stock Award is subject to the terms of any agreement governing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Transaction involving the Company, including, without limitation, a provision for the appointment of a stockholder representative that is authorized to act on your behalf with respect to any escrow, indemnities and any contingent consideration.</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505"/>
        <w:spacing w:after="0" w:line="233"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You agree to review with your own tax advisors the federal, state, local and foreign tax consequences of this investment and the transactions contemplated by this Restricted Stock Award. You will rely solely on such advisors and not on any statements or representations of the Company or any of its agents. You understand that you (and not the Company) will be responsible for your own tax liability that may arise as a result of this investment or the transactions contemplated by this Restricted Stock Award. You understand that under Code Section 83, the excess of the fair market value of the shares of Common Stock subject to the Restricted Stock Award on the date any forfeiture restrictions applicable to such shares of Common Stock lapse over the amount, if any, paid for such shares of Common Stock will be reportable as ordinary income on the lapse date. For this purpose, the term </w:t>
      </w:r>
      <w:r>
        <w:rPr>
          <w:rFonts w:ascii="Times New Roman" w:cs="Times New Roman" w:eastAsia="Times New Roman" w:hAnsi="Times New Roman"/>
          <w:sz w:val="22"/>
          <w:szCs w:val="22"/>
          <w:b w:val="1"/>
          <w:bCs w:val="1"/>
          <w:i w:val="1"/>
          <w:iCs w:val="1"/>
          <w:color w:val="auto"/>
        </w:rPr>
        <w:t>“forfeiture restrictions”</w:t>
      </w:r>
      <w:r>
        <w:rPr>
          <w:rFonts w:ascii="Times New Roman" w:cs="Times New Roman" w:eastAsia="Times New Roman" w:hAnsi="Times New Roman"/>
          <w:sz w:val="22"/>
          <w:szCs w:val="22"/>
          <w:color w:val="auto"/>
        </w:rPr>
        <w:t xml:space="preserve"> includes the right of the Company to reacquire the Unvested Shares pursuant to the Reacquisition Right. You may elect under Code Section 83(b) to be taxed at the time the shares of Common Stock subject to the Restricted Stock Award are issued, rather than when and as such shares cease to be subject to such forfeiture restrictions. THE FORM FOR MAKING THIS ELECTION MAY BE OBTAINED FROM THE COMPANY UPON YOUR REQUEST. YOU UNDERSTAND THAT FAILURE TO MAKE THIS FILING WITHIN THE APPLICABLE THIRTY (30)-DAY PERIOD WILL RESULT IN THE RECOGNITION OF ORDINARY INCOME AS THE FORFEITURE RESTRICTIONS LAPSE.</w:t>
      </w:r>
    </w:p>
    <w:p>
      <w:pPr>
        <w:spacing w:after="0" w:line="175" w:lineRule="exact"/>
        <w:rPr>
          <w:rFonts w:ascii="Times New Roman" w:cs="Times New Roman" w:eastAsia="Times New Roman" w:hAnsi="Times New Roman"/>
          <w:sz w:val="22"/>
          <w:szCs w:val="22"/>
          <w:b w:val="1"/>
          <w:bCs w:val="1"/>
          <w:color w:val="auto"/>
        </w:rPr>
      </w:pPr>
    </w:p>
    <w:p>
      <w:pPr>
        <w:jc w:val="both"/>
        <w:ind w:right="20" w:firstLine="1505"/>
        <w:spacing w:after="0" w:line="243"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FILING RESPONSIBILITY. </w:t>
      </w:r>
      <w:r>
        <w:rPr>
          <w:rFonts w:ascii="Times New Roman" w:cs="Times New Roman" w:eastAsia="Times New Roman" w:hAnsi="Times New Roman"/>
          <w:sz w:val="22"/>
          <w:szCs w:val="22"/>
          <w:color w:val="auto"/>
        </w:rPr>
        <w:t>YOU ACKNOWLEDGE THAT IT IS YOUR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AND NOT THE COMPANY’S, TO FILE A TIMELY ELECTION UNDER CODE SECTION 83(b),</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EVEN IF YOU REQUEST THE COMPANY OR ITS REPRESENTATIVES TO MAKE THIS FILING ON YOUR BEHALF.</w:t>
      </w:r>
    </w:p>
    <w:p>
      <w:pPr>
        <w:spacing w:after="0" w:line="19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a condition to accepting the Restricted Stock Award, you hereby (i) agree to not make any claim against the Company, or any of its Officers, Directors, Employees or Affiliates related to tax liabilities arising from the Restricted Stock Award or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1391920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jc w:val="both"/>
        <w:spacing w:after="0" w:line="244" w:lineRule="auto"/>
        <w:rPr>
          <w:sz w:val="20"/>
          <w:szCs w:val="20"/>
          <w:color w:val="auto"/>
        </w:rPr>
      </w:pPr>
      <w:r>
        <w:rPr>
          <w:rFonts w:ascii="Times New Roman" w:cs="Times New Roman" w:eastAsia="Times New Roman" w:hAnsi="Times New Roman"/>
          <w:sz w:val="22"/>
          <w:szCs w:val="22"/>
          <w:color w:val="auto"/>
        </w:rPr>
        <w:t>compensation and (ii) acknowledge that you were advised to consult with your own personal tax, financial and other legal advisors regarding the tax consequences of the Restricted Stock Award and have either done so or knowingly and voluntarily declined to do so.</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the Plan, your Restricted Stock Award is not transferable,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will or by the applicable laws of descent and distribution</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receipt of or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which includes the Prospectus. In addition, you acknowledge receipt of the Company’s Trading Policy.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1505"/>
        <w:spacing w:after="0" w:line="258"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Restricted Stock Award.</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agree that you have reviewed your Restricted Stock Award in its entirety, have had an opportunity to obtain the advice of counsel prior to executing and accepting your Restricted Stock Award and fully understand all provisions of your Restricted Stock Award.</w:t>
      </w:r>
    </w:p>
    <w:p>
      <w:pPr>
        <w:spacing w:after="0" w:line="17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have questions regarding these or any other terms and conditions applicable to your Restricted Stock Award, including a summary of the 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1519555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eparate from</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3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alue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pursuant to that certain Restricted Stock Award Grant Notice and Restricted Stock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______ hereby sells, assigns and transfers unto Tempus AI, Inc., a Delaware corporation (“</w:t>
      </w:r>
      <w:r>
        <w:rPr>
          <w:rFonts w:ascii="Times New Roman" w:cs="Times New Roman" w:eastAsia="Times New Roman" w:hAnsi="Times New Roman"/>
          <w:sz w:val="20"/>
          <w:szCs w:val="20"/>
          <w:b w:val="1"/>
          <w:bCs w:val="1"/>
          <w:i w:val="1"/>
          <w:iCs w:val="1"/>
          <w:color w:val="auto"/>
        </w:rPr>
        <w:t>Assignee</w:t>
      </w: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1"/>
          <w:szCs w:val="21"/>
          <w:color w:val="auto"/>
        </w:rPr>
        <w:t>_________________ (___) shares of the Common Stock of the Assignee, standing in the undersigned’s name on the books of the</w:t>
      </w:r>
    </w:p>
    <w:p>
      <w:pPr>
        <w:spacing w:after="0" w:line="231" w:lineRule="auto"/>
        <w:rPr>
          <w:sz w:val="20"/>
          <w:szCs w:val="20"/>
          <w:color w:val="auto"/>
        </w:rPr>
      </w:pPr>
      <w:r>
        <w:rPr>
          <w:rFonts w:ascii="Times New Roman" w:cs="Times New Roman" w:eastAsia="Times New Roman" w:hAnsi="Times New Roman"/>
          <w:sz w:val="22"/>
          <w:szCs w:val="22"/>
          <w:color w:val="auto"/>
        </w:rPr>
        <w:t>Company represented by Certificate No. _____ herewith and do hereby irrevocably constitute and appoint the Company’s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Secretary as attorney-in-fact to transfer the said Common Stock on the books of the within named Company with full power of substitution in the premises. This Assignment may be used only in accordance with and subject to the terms and conditions of the Award, in connection with the reacquisition of shares of Common Stock of the Company issued to the undersigned pursuant to the Award, and only to the extent that such shares remain subject to the Company’s Reacquisition Right under the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828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Signature:_________________________________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294005</wp:posOffset>
            </wp:positionV>
            <wp:extent cx="274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(Print Name), Recipient</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Please do not fill in any blanks other than the signature line. The purpose of this Assignment is to enable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exercise its Reacquisition Right set forth in the Award without requiring additional signatures on your part.</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1242695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J</w:t>
      </w:r>
      <w:r>
        <w:rPr>
          <w:rFonts w:ascii="Times New Roman" w:cs="Times New Roman" w:eastAsia="Times New Roman" w:hAnsi="Times New Roman"/>
          <w:sz w:val="14"/>
          <w:szCs w:val="14"/>
          <w:b w:val="1"/>
          <w:bCs w:val="1"/>
          <w:color w:val="auto"/>
        </w:rPr>
        <w:t>oint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scrow</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nstructions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Secretary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230" w:lineRule="auto"/>
        <w:rPr>
          <w:sz w:val="20"/>
          <w:szCs w:val="20"/>
          <w:color w:val="auto"/>
        </w:rPr>
      </w:pPr>
      <w:r>
        <w:rPr>
          <w:rFonts w:ascii="Times New Roman" w:cs="Times New Roman" w:eastAsia="Times New Roman" w:hAnsi="Times New Roman"/>
          <w:sz w:val="22"/>
          <w:szCs w:val="22"/>
          <w:color w:val="auto"/>
        </w:rPr>
        <w:t>600 W. Chicago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Sir/Madam:</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As Escrow Agent for both </w:t>
      </w:r>
      <w:r>
        <w:rPr>
          <w:rFonts w:ascii="Times New Roman" w:cs="Times New Roman" w:eastAsia="Times New Roman" w:hAnsi="Times New Roman"/>
          <w:sz w:val="21"/>
          <w:szCs w:val="21"/>
          <w:b w:val="1"/>
          <w:bCs w:val="1"/>
          <w:color w:val="auto"/>
        </w:rPr>
        <w:t>Tempus AI, 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the undersigned recipient (“</w:t>
      </w:r>
      <w:r>
        <w:rPr>
          <w:rFonts w:ascii="Times New Roman" w:cs="Times New Roman" w:eastAsia="Times New Roman" w:hAnsi="Times New Roman"/>
          <w:sz w:val="21"/>
          <w:szCs w:val="21"/>
          <w:b w:val="1"/>
          <w:bCs w:val="1"/>
          <w:i w:val="1"/>
          <w:iCs w:val="1"/>
          <w:color w:val="auto"/>
        </w:rPr>
        <w:t>Recipient</w:t>
      </w:r>
      <w:r>
        <w:rPr>
          <w:rFonts w:ascii="Times New Roman" w:cs="Times New Roman" w:eastAsia="Times New Roman" w:hAnsi="Times New Roman"/>
          <w:sz w:val="21"/>
          <w:szCs w:val="21"/>
          <w:color w:val="auto"/>
        </w:rPr>
        <w:t>”) of Common Stock of the Company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you are hereby authorized and directed to hold the documents delivered to you pursuant to the terms of the Restricted Stock Award Grant Notice (including all attachments and exhibits) dated ___________________ (the “</w:t>
      </w:r>
      <w:r>
        <w:rPr>
          <w:rFonts w:ascii="Times New Roman" w:cs="Times New Roman" w:eastAsia="Times New Roman" w:hAnsi="Times New Roman"/>
          <w:sz w:val="21"/>
          <w:szCs w:val="21"/>
          <w:b w:val="1"/>
          <w:bCs w:val="1"/>
          <w:i w:val="1"/>
          <w:iCs w:val="1"/>
          <w:color w:val="auto"/>
        </w:rPr>
        <w:t>Grant Documents</w:t>
      </w:r>
      <w:r>
        <w:rPr>
          <w:rFonts w:ascii="Times New Roman" w:cs="Times New Roman" w:eastAsia="Times New Roman" w:hAnsi="Times New Roman"/>
          <w:sz w:val="21"/>
          <w:szCs w:val="21"/>
          <w:color w:val="auto"/>
        </w:rPr>
        <w:t>”), to which a copy of these Joint Escrow Instructions is attached</w:t>
      </w:r>
    </w:p>
    <w:p>
      <w:pPr>
        <w:spacing w:after="0" w:line="4"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as Exhibit B, in accordance with the following instructions. Capitalized terms not explicitly defined in these instructions but defined in the Company’s 2024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or in the Grant Documents shall have the same definitions as provided therein.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color w:val="auto"/>
        </w:rPr>
        <w:t>In the event Recipient ceases to render services to the Company or an affiliate of the Company during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set forth in the Grant Documents, the Company or its assignee will give to Recipient and you a written notice specifying that the shares of Common Stock shall be transferred to the Company. Recipient and the Company hereby irrevocably authorize and direct you to close the transaction contemplated by such notice in accordance with the terms of said notice.</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color w:val="auto"/>
        </w:rPr>
        <w:t>At the closing you are directed (a) to date any stock assignments necessary for the transfer in question, (b) to fill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shares of Common Stock being transferred, and (c) to deliver same, together with the certificate evidencing the shares of Common Stock to be transferred, to the Company.</w:t>
      </w:r>
    </w:p>
    <w:p>
      <w:pPr>
        <w:spacing w:after="0" w:line="167"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Recipient irrevocably authorizes the Company to deposit with you any certificates evidencing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to be held by you hereunder and any additions and substitutions to said shares as specified in the Grant Documents. Recipient does hereby irrevocably constitute and appoint you as Recipient’s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1395095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1" w:name="page62"/>
    <w:bookmarkEnd w:id="61"/>
    <w:p>
      <w:pPr>
        <w:ind w:left="760"/>
        <w:spacing w:after="0"/>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This escrow shall terminate upon vesting of the shares or upon the earlier return of the shares to the Company.</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color w:val="auto"/>
        </w:rPr>
        <w:t>If at the time of termination of this escrow you should have in your possession any documents, securities,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belonging to Recipient, you shall deliver all of same to any pledgee entitled thereto or, if none, to Recipient and shall be discharged of all further obligations hereunder.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20.</w:t>
      </w:r>
      <w:r>
        <w:rPr>
          <w:rFonts w:ascii="Times New Roman" w:cs="Times New Roman" w:eastAsia="Times New Roman" w:hAnsi="Times New Roman"/>
          <w:sz w:val="22"/>
          <w:szCs w:val="22"/>
          <w:color w:val="auto"/>
        </w:rPr>
        <w:t>Your duties hereunder may be altered, amended, modified or revoked only by a writing signed by all of the parties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78"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2"/>
          <w:szCs w:val="22"/>
          <w:color w:val="auto"/>
        </w:rPr>
        <w:t>You shall be obligated only for the performance of such duties as are specifically set forth herein and may rely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for Recipient while acting in good faith and any act done or omitted by you pursuant to the advice of your own attorneys shall be conclusive evidence of such good faith.</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22.</w:t>
      </w:r>
      <w:r>
        <w:rPr>
          <w:rFonts w:ascii="Times New Roman" w:cs="Times New Roman" w:eastAsia="Times New Roman" w:hAnsi="Times New Roman"/>
          <w:sz w:val="22"/>
          <w:szCs w:val="22"/>
          <w:color w:val="auto"/>
        </w:rPr>
        <w:t>You are hereby expressly authorized to disregard any and all warnings given by any of the parties hereto or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7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23.</w:t>
      </w:r>
      <w:r>
        <w:rPr>
          <w:rFonts w:ascii="Times New Roman" w:cs="Times New Roman" w:eastAsia="Times New Roman" w:hAnsi="Times New Roman"/>
          <w:sz w:val="21"/>
          <w:szCs w:val="21"/>
          <w:color w:val="auto"/>
        </w:rPr>
        <w:t>You shall not be liable in any respect on account of the identity, authority or rights of the parties executing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delivering or purporting to execute or deliver the Grant Documents or any documents or papers deposited or called for hereunder.</w:t>
      </w:r>
    </w:p>
    <w:p>
      <w:pPr>
        <w:spacing w:after="0" w:line="12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24.</w:t>
      </w:r>
      <w:r>
        <w:rPr>
          <w:rFonts w:ascii="Times New Roman" w:cs="Times New Roman" w:eastAsia="Times New Roman" w:hAnsi="Times New Roman"/>
          <w:sz w:val="22"/>
          <w:szCs w:val="22"/>
          <w:color w:val="auto"/>
        </w:rPr>
        <w:t>You shall not be liable for the outlawing of any rights under any statute of limitations with respect to these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Escrow Instructions or any documents deposited with you.</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w:t>
      </w:r>
      <w:r>
        <w:rPr>
          <w:rFonts w:ascii="Times New Roman" w:cs="Times New Roman" w:eastAsia="Times New Roman" w:hAnsi="Times New Roman"/>
          <w:sz w:val="22"/>
          <w:szCs w:val="22"/>
          <w:color w:val="auto"/>
        </w:rPr>
        <w:t>You shall be entitled to employ such legal counsel and other experts as you may deem necessary properly to advise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in connection with your obligations hereunder, may rely upon the advice of such counsel, and may pay such counsel reasonable compensation therefor.</w:t>
      </w:r>
    </w:p>
    <w:p>
      <w:pPr>
        <w:spacing w:after="0" w:line="167" w:lineRule="exact"/>
        <w:rPr>
          <w:sz w:val="20"/>
          <w:szCs w:val="20"/>
          <w:color w:val="auto"/>
        </w:rPr>
      </w:pPr>
    </w:p>
    <w:p>
      <w:pPr>
        <w:jc w:val="both"/>
        <w:ind w:firstLine="749"/>
        <w:spacing w:after="0" w:line="265" w:lineRule="exact"/>
        <w:rPr>
          <w:sz w:val="20"/>
          <w:szCs w:val="20"/>
          <w:color w:val="auto"/>
        </w:rPr>
      </w:pPr>
      <w:r>
        <w:rPr>
          <w:rFonts w:ascii="Times New Roman" w:cs="Times New Roman" w:eastAsia="Times New Roman" w:hAnsi="Times New Roman"/>
          <w:sz w:val="22"/>
          <w:szCs w:val="22"/>
          <w:b w:val="1"/>
          <w:bCs w:val="1"/>
          <w:color w:val="auto"/>
        </w:rPr>
        <w:t>26.</w:t>
      </w:r>
      <w:r>
        <w:rPr>
          <w:rFonts w:ascii="Times New Roman" w:cs="Times New Roman" w:eastAsia="Times New Roman" w:hAnsi="Times New Roman"/>
          <w:sz w:val="22"/>
          <w:szCs w:val="22"/>
          <w:color w:val="auto"/>
        </w:rPr>
        <w:t>Your responsibilities as Escrow Agent hereunder shall terminate if you shall cease to be Secretary of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shall resign by written notice to each party. In the event of any such termination, the Company may appoint any officer or assistant officer of the Company as successor Escrow Agent and Recipient hereby confirms the appointment of such successor or successors as his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agent to the full extent of your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1375410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2" w:name="page63"/>
    <w:bookmarkEnd w:id="62"/>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27.</w:t>
      </w:r>
      <w:r>
        <w:rPr>
          <w:rFonts w:ascii="Times New Roman" w:cs="Times New Roman" w:eastAsia="Times New Roman" w:hAnsi="Times New Roman"/>
          <w:sz w:val="22"/>
          <w:szCs w:val="22"/>
          <w:color w:val="auto"/>
        </w:rPr>
        <w:t>If you reasonably require other or further instruments in connection with these Joint Escrow Instructions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in respect hereto, the necessary parties hereto shall join in furnishing such instruments.</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28.</w:t>
      </w:r>
      <w:r>
        <w:rPr>
          <w:rFonts w:ascii="Times New Roman" w:cs="Times New Roman" w:eastAsia="Times New Roman" w:hAnsi="Times New Roman"/>
          <w:sz w:val="22"/>
          <w:szCs w:val="22"/>
          <w:color w:val="auto"/>
        </w:rPr>
        <w:t>It is understood and agreed that should any dispute arise with respect to the delivery and/or ownership or right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the securities,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29.</w:t>
      </w:r>
      <w:r>
        <w:rPr>
          <w:rFonts w:ascii="Times New Roman" w:cs="Times New Roman" w:eastAsia="Times New Roman" w:hAnsi="Times New Roman"/>
          <w:sz w:val="22"/>
          <w:szCs w:val="22"/>
          <w:color w:val="auto"/>
        </w:rPr>
        <w:t>Any notice or request required or permitted hereunder will be given in writing to each of the other parties hereto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effectively given on the earlier of (i) the date of personal delivery, including delivery by express courier, or delivery via electronic means, or (ii) the date that is five days after deposit in the United States Post Office (whether or not actually received by the addressee), by registered or certified mail with postage and fees prepaid, addressed to each of the other parties hereunto entitled at the following addresses, or at such other addresses as a party may designate by 10 days’ advance written notice to each of the other parties hereto:</w:t>
      </w:r>
    </w:p>
    <w:p>
      <w:pPr>
        <w:sectPr>
          <w:pgSz w:w="11900" w:h="16838" w:orient="portrait"/>
          <w:cols w:equalWidth="0" w:num="1">
            <w:col w:w="11240"/>
          </w:cols>
          <w:pgMar w:left="320" w:top="1404" w:right="339" w:bottom="1440" w:gutter="0" w:footer="0" w:header="0"/>
        </w:sectPr>
      </w:pP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600 W. Chicago Avenue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74" w:lineRule="exact"/>
        <w:rPr>
          <w:sz w:val="20"/>
          <w:szCs w:val="20"/>
          <w:color w:val="auto"/>
        </w:rPr>
      </w:pPr>
    </w:p>
    <w:p>
      <w:pPr>
        <w:sectPr>
          <w:pgSz w:w="11900" w:h="16838" w:orient="portrait"/>
          <w:cols w:equalWidth="0" w:num="2">
            <w:col w:w="1980" w:space="720"/>
            <w:col w:w="8540"/>
          </w:cols>
          <w:pgMar w:left="320" w:top="1404" w:right="3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21"/>
          <w:szCs w:val="21"/>
          <w:color w:val="auto"/>
        </w:rPr>
        <w:t>Attn: General Counsel / Chief Financial Officer</w:t>
      </w: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Recipient:</w:t>
      </w:r>
    </w:p>
    <w:p>
      <w:pPr>
        <w:sectPr>
          <w:pgSz w:w="11900" w:h="16838" w:orient="portrait"/>
          <w:cols w:equalWidth="0" w:num="1">
            <w:col w:w="11240"/>
          </w:cols>
          <w:pgMar w:left="320" w:top="14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Escrow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600 W Chicago Avenue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60654</w:t>
      </w:r>
    </w:p>
    <w:p>
      <w:pPr>
        <w:spacing w:after="0" w:line="74" w:lineRule="exact"/>
        <w:rPr>
          <w:sz w:val="20"/>
          <w:szCs w:val="20"/>
          <w:color w:val="auto"/>
        </w:rPr>
      </w:pPr>
    </w:p>
    <w:p>
      <w:pPr>
        <w:sectPr>
          <w:pgSz w:w="11900" w:h="16838" w:orient="portrait"/>
          <w:cols w:equalWidth="0" w:num="2">
            <w:col w:w="2120" w:space="580"/>
            <w:col w:w="8540"/>
          </w:cols>
          <w:pgMar w:left="320" w:top="1404" w:right="3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21"/>
          <w:szCs w:val="21"/>
          <w:color w:val="auto"/>
        </w:rPr>
        <w:t>Attn: Corporate Secretary</w:t>
      </w:r>
    </w:p>
    <w:p>
      <w:pPr>
        <w:sectPr>
          <w:pgSz w:w="11900" w:h="16838" w:orient="portrait"/>
          <w:cols w:equalWidth="0" w:num="1">
            <w:col w:w="11240"/>
          </w:cols>
          <w:pgMar w:left="320" w:top="1404" w:right="339" w:bottom="1440" w:gutter="0" w:footer="0" w:header="0"/>
          <w:type w:val="continuous"/>
        </w:sectPr>
      </w:pPr>
    </w:p>
    <w:p>
      <w:pPr>
        <w:spacing w:after="0" w:line="24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22"/>
          <w:szCs w:val="22"/>
          <w:color w:val="auto"/>
        </w:rPr>
        <w:t>By signing these Joint Escrow Instructions you become a party hereto only for the purpose of said Joint Escrow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Instructions; you do not become a party to the Grant Documents.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31.</w:t>
      </w:r>
      <w:r>
        <w:rPr>
          <w:rFonts w:ascii="Times New Roman" w:cs="Times New Roman" w:eastAsia="Times New Roman" w:hAnsi="Times New Roman"/>
          <w:sz w:val="22"/>
          <w:szCs w:val="22"/>
          <w:color w:val="auto"/>
        </w:rPr>
        <w:t>This instrument will be binding upon and inure to the benefit of the parties hereto, and their respective successors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assigns. It is understood and agreed that references to “you” or “your” herein refer to the original Escrow Agent and to any and all successor Escrow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22"/>
          <w:szCs w:val="22"/>
          <w:color w:val="auto"/>
        </w:rPr>
        <w:t>Agents. It is understood and agreed that the Company may at any time or from time to time assign its rights under the Grant Documents and these Joint Escrow Instructions in whole or in part.</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32.</w:t>
      </w:r>
      <w:r>
        <w:rPr>
          <w:rFonts w:ascii="Times New Roman" w:cs="Times New Roman" w:eastAsia="Times New Roman" w:hAnsi="Times New Roman"/>
          <w:sz w:val="22"/>
          <w:szCs w:val="22"/>
          <w:color w:val="auto"/>
        </w:rPr>
        <w:t>These Joint Escrow Instructions will be governed by and interpreted and determined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regard to that state’s conflicts of laws rules. The parties hereby expressly consent to the personal jurisdiction of the state and federal courts located in the county in which the Company has its principal offices for any lawsuit arising from or related to these Joint Escrow Instructions.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33.</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Tempus AI,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-13970</wp:posOffset>
            </wp:positionV>
            <wp:extent cx="114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-13970</wp:posOffset>
            </wp:positionV>
            <wp:extent cx="2895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553720</wp:posOffset>
            </wp:positionV>
            <wp:extent cx="274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448310</wp:posOffset>
            </wp:positionV>
            <wp:extent cx="274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 Name)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274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274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1310005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Lefkofsky,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Lefkofsky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5" w:name="page66"/>
    <w:bookmarkEnd w:id="6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Rogers,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James Rogers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6" w:name="page67"/>
    <w:bookmarkEnd w:id="6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w:t>
      </w:r>
    </w:p>
    <w:p>
      <w:pPr>
        <w:spacing w:after="0" w:line="68" w:lineRule="exact"/>
        <w:rPr>
          <w:sz w:val="20"/>
          <w:szCs w:val="20"/>
          <w:color w:val="auto"/>
        </w:rPr>
      </w:pPr>
    </w:p>
    <w:p>
      <w:pPr>
        <w:ind w:left="520" w:right="300" w:hanging="512"/>
        <w:spacing w:after="0" w:line="28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420" w:hanging="512"/>
        <w:spacing w:after="0" w:line="282"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2025</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Lefkofsky</w:t>
            </w:r>
          </w:p>
        </w:tc>
        <w:tc>
          <w:tcPr>
            <w:tcW w:w="112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Rogers</w:t>
            </w: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Lefkofsky</w:t>
            </w:r>
          </w:p>
        </w:tc>
        <w:tc>
          <w:tcPr>
            <w:tcW w:w="11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Rogers</w:t>
            </w: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11"/>
    </w:lvl>
  </w:abstractNum>
  <w:abstractNum w:abstractNumId="17">
    <w:nsid w:val="22221A70"/>
    <w:multiLevelType w:val="hybridMultilevel"/>
    <w:lvl w:ilvl="0">
      <w:lvlJc w:val="left"/>
      <w:lvlText w:val="%1."/>
      <w:numFmt w:val="decimal"/>
      <w:start w:val="12"/>
    </w:lvl>
  </w:abstractNum>
  <w:abstractNum w:abstractNumId="18">
    <w:nsid w:val="4516DDE9"/>
    <w:multiLevelType w:val="hybridMultilevel"/>
    <w:lvl w:ilvl="0">
      <w:lvlJc w:val="left"/>
      <w:lvlText w:val="%1."/>
      <w:numFmt w:val="decimal"/>
      <w:start w:val="13"/>
    </w:lvl>
  </w:abstractNum>
  <w:abstractNum w:abstractNumId="19">
    <w:nsid w:val="3006C83E"/>
    <w:multiLevelType w:val="hybridMultilevel"/>
    <w:lvl w:ilvl="0">
      <w:lvlJc w:val="left"/>
      <w:lvlText w:val="(%1)"/>
      <w:numFmt w:val="lowerLetter"/>
      <w:start w:val="4"/>
    </w:lvl>
  </w:abstractNum>
  <w:abstractNum w:abstractNumId="20">
    <w:nsid w:val="614FD4A1"/>
    <w:multiLevelType w:val="hybridMultilevel"/>
    <w:lvl w:ilvl="0">
      <w:lvlJc w:val="left"/>
      <w:lvlText w:val="%1."/>
      <w:numFmt w:val="decimal"/>
      <w:start w:val="14"/>
    </w:lvl>
  </w:abstractNum>
  <w:abstractNum w:abstractNumId="21">
    <w:nsid w:val="419AC241"/>
    <w:multiLevelType w:val="hybridMultilevel"/>
    <w:lvl w:ilvl="0">
      <w:lvlJc w:val="left"/>
      <w:lvlText w:val="%1."/>
      <w:numFmt w:val="decimal"/>
      <w:start w:val="15"/>
    </w:lvl>
  </w:abstractNum>
  <w:abstractNum w:abstractNumId="22">
    <w:nsid w:val="5577F8E1"/>
    <w:multiLevelType w:val="hybridMultilevel"/>
    <w:lvl w:ilvl="0">
      <w:lvlJc w:val="left"/>
      <w:lvlText w:val="%1."/>
      <w:numFmt w:val="decimal"/>
      <w:start w:val="16"/>
    </w:lvl>
  </w:abstractNum>
  <w:abstractNum w:abstractNumId="23">
    <w:nsid w:val="440BADFC"/>
    <w:multiLevelType w:val="hybridMultilevel"/>
    <w:lvl w:ilvl="0">
      <w:lvlJc w:val="left"/>
      <w:lvlText w:val="%1."/>
      <w:numFmt w:val="decimal"/>
      <w:start w:val="17"/>
    </w:lvl>
  </w:abstractNum>
  <w:abstractNum w:abstractNumId="24">
    <w:nsid w:val="5072367"/>
    <w:multiLevelType w:val="hybridMultilevel"/>
    <w:lvl w:ilvl="0">
      <w:lvlJc w:val="left"/>
      <w:lvlText w:val="%1."/>
      <w:numFmt w:val="decimal"/>
      <w:start w:val="18"/>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Roman"/>
      <w:start w:val="9"/>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Letter"/>
      <w:start w:val="4"/>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lvl w:ilvl="1">
      <w:lvlJc w:val="left"/>
      <w:lvlText w:val="(%2)"/>
      <w:numFmt w:val="lowerLetter"/>
      <w:start w:val="1"/>
    </w:lvl>
  </w:abstractNum>
  <w:abstractNum w:abstractNumId="36">
    <w:nsid w:val="70A64E2A"/>
    <w:multiLevelType w:val="hybridMultilevel"/>
    <w:lvl w:ilvl="0">
      <w:lvlJc w:val="left"/>
      <w:lvlText w:val="%1."/>
      <w:numFmt w:val="decimal"/>
      <w:start w:val="2"/>
    </w:lvl>
  </w:abstractNum>
  <w:abstractNum w:abstractNumId="37">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9">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
    <w:nsid w:val="725A06FB"/>
    <w:multiLevelType w:val="hybridMultilevel"/>
    <w:lvl w:ilvl="0">
      <w:lvlJc w:val="left"/>
      <w:lvlText w:val="%1"/>
      <w:numFmt w:val="decimal"/>
      <w:start w:val="1"/>
    </w:lvl>
    <w:lvl w:ilvl="1">
      <w:lvlJc w:val="left"/>
      <w:lvlText w:val="(%2)"/>
      <w:numFmt w:val="lowerLetter"/>
      <w:start w:val="2"/>
    </w:lvl>
  </w:abstractNum>
  <w:abstractNum w:abstractNumId="41">
    <w:nsid w:val="2CD89A32"/>
    <w:multiLevelType w:val="hybridMultilevel"/>
    <w:lvl w:ilvl="0">
      <w:lvlJc w:val="left"/>
      <w:lvlText w:val="%1."/>
      <w:numFmt w:val="decimal"/>
      <w:start w:val="9"/>
    </w:lvl>
    <w:lvl w:ilvl="1">
      <w:lvlJc w:val="left"/>
      <w:lvlText w:val="%2"/>
      <w:numFmt w:val="lowerLetter"/>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2" Type="http://schemas.openxmlformats.org/officeDocument/2006/relationships/image" Target="media/image224.png"/><Relationship Id="rId234"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31" Type="http://schemas.openxmlformats.org/officeDocument/2006/relationships/hyperlink" Target="https://www.sec.gov/Archives/edgar/data/1717115/000119312524162594/d665789dex31.htm" TargetMode="External"/><Relationship Id="rId233" Type="http://schemas.openxmlformats.org/officeDocument/2006/relationships/hyperlink" Target="https://www.sec.gov/Archives/edgar/data/1717115/000119312524162594/d665789dex32.htm" TargetMode="External"/><Relationship Id="rId235" Type="http://schemas.openxmlformats.org/officeDocument/2006/relationships/hyperlink" Target="https://www.sec.gov/Archives/edgar/data/1717115/000119312525019313/d84356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2025-05-06T15:26:05Z</dcterms:created>
  <dcterms:modified xsi:type="dcterms:W3CDTF">2025-05-06T15:26:05Z</dcterms:modified>
</cp:coreProperties>
</file>