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em-20250630.htm"/>
      <w:bookmarkStart w:id="1" w:name="kstem20250630"/>
      <w:bookmarkEnd w:id="0"/>
      <w:bookmarkEnd w:id="1"/>
      <w:r>
        <w:rPr/>
        <w:t> </w:t>
      </w:r>
    </w:p>
    <w:p>
      <w:pPr>
        <w:pStyle w:val="TextBody"/>
        <w:pBdr>
          <w:top w:val="double" w:sz="6"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33"/>
        </w:rPr>
      </w:pPr>
      <w:r>
        <w:rPr>
          <w:rFonts w:ascii="Times New Roman" w:hAnsi="Times New Roman"/>
          <w:b/>
          <w:color w:val="000000"/>
          <w:sz w:val="33"/>
        </w:rPr>
        <w:t>UNITED STATES</w:t>
      </w:r>
    </w:p>
    <w:p>
      <w:pPr>
        <w:pStyle w:val="TextBody"/>
        <w:bidi w:val="0"/>
        <w:jc w:val="center"/>
        <w:rPr>
          <w:rFonts w:ascii="Times New Roman" w:hAnsi="Times New Roman"/>
          <w:b/>
          <w:color w:val="000000"/>
          <w:sz w:val="33"/>
        </w:rPr>
      </w:pPr>
      <w:r>
        <w:rPr>
          <w:rFonts w:ascii="Times New Roman" w:hAnsi="Times New Roman"/>
          <w:b/>
          <w:color w:val="000000"/>
          <w:sz w:val="33"/>
        </w:rPr>
        <w:t>SECURITIES AND EXCHANGE COMMISSION</w:t>
      </w:r>
    </w:p>
    <w:p>
      <w:pPr>
        <w:pStyle w:val="TextBody"/>
        <w:bidi w:val="0"/>
        <w:jc w:val="center"/>
        <w:rPr>
          <w:rFonts w:ascii="Times New Roman" w:hAnsi="Times New Roman"/>
          <w:b/>
          <w:color w:val="000000"/>
          <w:sz w:val="21"/>
        </w:rPr>
      </w:pPr>
      <w:r>
        <w:rPr>
          <w:rFonts w:ascii="Times New Roman" w:hAnsi="Times New Roman"/>
          <w:b/>
          <w:color w:val="000000"/>
          <w:sz w:val="21"/>
        </w:rPr>
        <w:t>Washington, D.C. 20549</w:t>
      </w:r>
    </w:p>
    <w:p>
      <w:pPr>
        <w:pStyle w:val="TextBody"/>
        <w:bidi w:val="0"/>
        <w:spacing w:before="120" w:after="283"/>
        <w:jc w:val="center"/>
        <w:rPr>
          <w:rFonts w:ascii="Times New Roman" w:hAnsi="Times New Roman"/>
          <w:b/>
          <w:color w:val="000000"/>
          <w:sz w:val="33"/>
        </w:rPr>
      </w:pPr>
      <w:r>
        <w:rPr>
          <w:rFonts w:ascii="Times New Roman" w:hAnsi="Times New Roman"/>
          <w:b/>
          <w:color w:val="000000"/>
          <w:sz w:val="33"/>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(Mark One)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quarterly period ended June 30, 2025</w:t>
      </w:r>
      <w:r>
        <w:rPr>
          <w:rFonts w:ascii="Times New Roman" w:hAnsi="Times New Roman"/>
          <w:color w:val="000000"/>
          <w:sz w:val="17"/>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transition period from _________ to _________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Commission File No. 001-42130</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5"/>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(Exact name of registrant as specified in its charter)</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Nevada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47-4903308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40" w:after="283"/>
        <w:jc w:val="center"/>
        <w:rPr>
          <w:rFonts w:ascii="Times New Roman" w:hAnsi="Times New Roman"/>
          <w:sz w:val="20"/>
        </w:rPr>
      </w:pPr>
      <w:r>
        <w:rPr>
          <w:rFonts w:ascii="Times New Roman" w:hAnsi="Times New Roman"/>
          <w:b/>
          <w:color w:val="000000"/>
          <w:sz w:val="17"/>
        </w:rPr>
        <w:t>600 West Chicago Avenue, Suite 510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Chicago, IL</w:t>
      </w:r>
      <w:r>
        <w:rPr>
          <w:rFonts w:ascii="Times New Roman" w:hAnsi="Times New Roman"/>
          <w:color w:val="000000"/>
          <w:sz w:val="20"/>
        </w:rPr>
        <w:t xml:space="preserve"> </w:t>
      </w:r>
      <w:r>
        <w:rPr>
          <w:rFonts w:ascii="Times New Roman" w:hAnsi="Times New Roman"/>
          <w:b/>
          <w:color w:val="000000"/>
          <w:sz w:val="17"/>
        </w:rPr>
        <w:t>60654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(800) 976-5448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former address and former fiscal year, if changed since last report)</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65" w:type="dxa"/>
        <w:jc w:val="left"/>
        <w:tblInd w:w="0" w:type="dxa"/>
        <w:tblLayout w:type="fixed"/>
        <w:tblCellMar>
          <w:top w:w="28" w:type="dxa"/>
          <w:left w:w="28" w:type="dxa"/>
          <w:bottom w:w="28" w:type="dxa"/>
          <w:right w:w="28" w:type="dxa"/>
        </w:tblCellMar>
      </w:tblPr>
      <w:tblGrid>
        <w:gridCol w:w="3736"/>
        <w:gridCol w:w="146"/>
        <w:gridCol w:w="826"/>
        <w:gridCol w:w="146"/>
        <w:gridCol w:w="231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sz w:val="16"/>
              </w:rPr>
            </w:pPr>
            <w:r>
              <w:rPr>
                <w:rFonts w:ascii="Times New Roman" w:hAnsi="Times New Roman"/>
                <w:b/>
                <w:color w:val="000000"/>
                <w:sz w:val="16"/>
              </w:rPr>
              <w:t>on which registered</w:t>
            </w:r>
            <w:r>
              <w:rPr>
                <w:rFonts w:ascii="Times New Roman" w:hAnsi="Times New Roman"/>
                <w:color w:val="000000"/>
                <w:sz w:val="16"/>
              </w:rPr>
              <w:t xml:space="preserve"> </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TEM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pBdr>
          <w:bottom w:val="single" w:sz="6" w:space="1" w:color="000000"/>
        </w:pBdr>
        <w:bidi w:val="0"/>
        <w:spacing w:before="40" w:after="283"/>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shell company (as defined in Rule 12b-2 of the Exchange Act): Yes☐ 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As of August 5, 2025, there were 168,683,769</w:t>
      </w:r>
      <w:r>
        <w:rPr>
          <w:rFonts w:ascii="Times New Roman" w:hAnsi="Times New Roman"/>
          <w:color w:val="000000"/>
          <w:sz w:val="20"/>
        </w:rPr>
        <w:t xml:space="preserve"> </w:t>
      </w:r>
      <w:r>
        <w:rPr>
          <w:rFonts w:ascii="Times New Roman" w:hAnsi="Times New Roman"/>
          <w:color w:val="000000"/>
          <w:sz w:val="17"/>
        </w:rPr>
        <w:t>shares of Class A common stock and 5,043,789</w:t>
      </w:r>
      <w:r>
        <w:rPr>
          <w:rFonts w:ascii="Times New Roman" w:hAnsi="Times New Roman"/>
          <w:color w:val="000000"/>
          <w:sz w:val="20"/>
        </w:rPr>
        <w:t xml:space="preserve"> </w:t>
      </w:r>
      <w:r>
        <w:rPr>
          <w:rFonts w:ascii="Times New Roman" w:hAnsi="Times New Roman"/>
          <w:color w:val="000000"/>
          <w:sz w:val="17"/>
        </w:rPr>
        <w:t>shares of Class B common stock, each with a par value of $0.0001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5"/>
        <w:gridCol w:w="8858"/>
        <w:gridCol w:w="572"/>
      </w:tblGrid>
      <w:tr>
        <w:trPr/>
        <w:tc>
          <w:tcPr>
            <w:tcW w:w="775" w:type="dxa"/>
            <w:tcBorders/>
            <w:shd w:fill="FFFFFF" w:val="clear"/>
            <w:vAlign w:val="center"/>
          </w:tcPr>
          <w:p>
            <w:pPr>
              <w:pStyle w:val="TableContents"/>
              <w:bidi w:val="0"/>
              <w:spacing w:before="0" w:after="283"/>
              <w:jc w:val="left"/>
              <w:rPr>
                <w:sz w:val="4"/>
                <w:szCs w:val="4"/>
              </w:rPr>
            </w:pPr>
            <w:r>
              <w:rPr>
                <w:sz w:val="4"/>
                <w:szCs w:val="4"/>
              </w:rPr>
            </w:r>
          </w:p>
        </w:tc>
        <w:tc>
          <w:tcPr>
            <w:tcW w:w="8858" w:type="dxa"/>
            <w:tcBorders/>
            <w:shd w:fill="FFFFFF" w:val="clear"/>
            <w:vAlign w:val="center"/>
          </w:tcPr>
          <w:p>
            <w:pPr>
              <w:pStyle w:val="TableContents"/>
              <w:bidi w:val="0"/>
              <w:spacing w:before="0" w:after="283"/>
              <w:jc w:val="left"/>
              <w:rPr>
                <w:sz w:val="4"/>
                <w:szCs w:val="4"/>
              </w:rPr>
            </w:pPr>
            <w:r>
              <w:rPr>
                <w:sz w:val="4"/>
                <w:szCs w:val="4"/>
              </w:rPr>
            </w:r>
          </w:p>
        </w:tc>
        <w:tc>
          <w:tcPr>
            <w:tcW w:w="572" w:type="dxa"/>
            <w:tcBorders/>
            <w:shd w:fill="FFFFFF" w:val="clear"/>
            <w:vAlign w:val="center"/>
          </w:tcPr>
          <w:p>
            <w:pPr>
              <w:pStyle w:val="TableContents"/>
              <w:bidi w:val="0"/>
              <w:spacing w:before="0" w:after="283"/>
              <w:jc w:val="left"/>
              <w:rPr>
                <w:sz w:val="4"/>
                <w:szCs w:val="4"/>
              </w:rPr>
            </w:pPr>
            <w:r>
              <w:rPr>
                <w:sz w:val="4"/>
                <w:szCs w:val="4"/>
              </w:rPr>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 – Condensed Consolidated Financial Statements (unaudited)</w:t>
              </w:r>
            </w:hyperlink>
            <w:hyperlink w:anchor="part_i">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condensed_consolid_quarterly_unaudited">
              <w:r>
                <w:rPr>
                  <w:rStyle w:val="InternetLink"/>
                  <w:rFonts w:ascii="Times New Roman" w:hAnsi="Times New Roman"/>
                  <w:color w:val="0000FF"/>
                  <w:sz w:val="20"/>
                  <w:u w:val="single"/>
                </w:rPr>
                <w:t>Condensed Consolidated Quarterly Financial Statements (Unaudited)</w:t>
              </w:r>
            </w:hyperlink>
            <w:hyperlink w:anchor="condensed_consolid_quarterly_unaudited">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balance_sheet">
              <w:r>
                <w:rPr>
                  <w:rStyle w:val="InternetLink"/>
                  <w:rFonts w:ascii="Times New Roman" w:hAnsi="Times New Roman"/>
                  <w:color w:val="0000FF"/>
                  <w:sz w:val="20"/>
                  <w:u w:val="single"/>
                </w:rPr>
                <w:t>Condensed Consolidated Balance Sheets</w:t>
              </w:r>
            </w:hyperlink>
            <w:hyperlink w:anchor="balance_sheet">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operations_and_comprehensive_loss">
              <w:r>
                <w:rPr>
                  <w:rStyle w:val="InternetLink"/>
                  <w:rFonts w:ascii="Times New Roman" w:hAnsi="Times New Roman"/>
                  <w:color w:val="0000FF"/>
                  <w:sz w:val="20"/>
                  <w:u w:val="single"/>
                </w:rPr>
                <w:t>Condensed Consolidated Statements of Operations and Comprehensive Loss</w:t>
              </w:r>
            </w:hyperlink>
            <w:hyperlink w:anchor="operations_and_comprehensive_los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s_of_cash_flow">
              <w:r>
                <w:rPr>
                  <w:rStyle w:val="InternetLink"/>
                  <w:rFonts w:ascii="Times New Roman" w:hAnsi="Times New Roman"/>
                  <w:color w:val="0000FF"/>
                  <w:sz w:val="20"/>
                  <w:u w:val="single"/>
                </w:rPr>
                <w:t>Condensed Consolidated Statements of Cash Flows</w:t>
              </w:r>
            </w:hyperlink>
            <w:hyperlink w:anchor="statements_of_cash_flow">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_of_equity">
              <w:r>
                <w:rPr>
                  <w:rStyle w:val="InternetLink"/>
                  <w:rFonts w:ascii="Times New Roman" w:hAnsi="Times New Roman"/>
                  <w:color w:val="0000FF"/>
                  <w:sz w:val="20"/>
                  <w:u w:val="single"/>
                </w:rPr>
                <w:t>Condensed Consolidated Statements of Redeemable Convertible Preferred Stock, Common Stock and Stockholders’ Equity</w:t>
              </w:r>
            </w:hyperlink>
            <w:hyperlink w:anchor="statement_of_equity">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notes_condensed_consolidated_financial">
              <w:r>
                <w:rPr>
                  <w:rStyle w:val="InternetLink"/>
                  <w:rFonts w:ascii="Times New Roman" w:hAnsi="Times New Roman"/>
                  <w:color w:val="0000FF"/>
                  <w:sz w:val="20"/>
                  <w:u w:val="single"/>
                </w:rPr>
                <w:t>Notes to Condensed Consolidated Financial Statements</w:t>
              </w:r>
            </w:hyperlink>
            <w:hyperlink w:anchor="notes_condensed_consolidated_financial">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hyperlink w:anchor="part_ii">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58"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3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3" w:name="condensed_consolid_quarterly_unaudited"/>
      <w:bookmarkEnd w:id="3"/>
      <w:r>
        <w:rPr>
          <w:rFonts w:ascii="Times New Roman" w:hAnsi="Times New Roman"/>
          <w:color w:val="000000"/>
          <w:sz w:val="20"/>
        </w:rPr>
        <w:t xml:space="preserve">Condensed Consolidated Quarterly Financial Statements (Unaudited) </w:t>
      </w:r>
    </w:p>
    <w:p>
      <w:pPr>
        <w:pStyle w:val="TextBody"/>
        <w:bidi w:val="0"/>
        <w:jc w:val="center"/>
        <w:rPr>
          <w:rFonts w:ascii="Times New Roman" w:hAnsi="Times New Roman"/>
          <w:color w:val="000000"/>
          <w:sz w:val="20"/>
        </w:rPr>
      </w:pPr>
      <w:r>
        <w:rPr>
          <w:rFonts w:ascii="Times New Roman" w:hAnsi="Times New Roman"/>
          <w:color w:val="000000"/>
          <w:sz w:val="20"/>
        </w:rPr>
        <w:t>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9"/>
        <w:gridCol w:w="146"/>
        <w:gridCol w:w="211"/>
        <w:gridCol w:w="931"/>
        <w:gridCol w:w="146"/>
        <w:gridCol w:w="146"/>
        <w:gridCol w:w="277"/>
        <w:gridCol w:w="1026"/>
        <w:gridCol w:w="793"/>
      </w:tblGrid>
      <w:tr>
        <w:trPr/>
        <w:tc>
          <w:tcPr>
            <w:tcW w:w="6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$1,545 and $1,141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667,603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267,244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869,777</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deferred revenue of $36,685 and $0 as of June 30, 2025 and December 31, 2024,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June 30, 2025 and December 31, 2024, respectively, no shares issued and outstanding at June 30, 2025 and December 31, 2024; aggregate liquidation preference of $0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Voting Common Stock, $0.0001 par value, 1,000,000,000 shares authorized at June 30, 2025 and December 31, 2024, respectively; 168,580,827 and 157,076,972 shares issued and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Voting Common Stock, $0.0001 par value, 5,500,000 shares authorized at June 30, 2025 and December 31, 2024, respectively; 5,043,789 issued and outstanding at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no shares authorized at June 30, 2025 and December 31, 2024, respectively; no shares issued and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145,466 shares at June 30, 2025 and December 31, 2024,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operations_and_comprehensive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4"/>
        <w:gridCol w:w="146"/>
        <w:gridCol w:w="211"/>
        <w:gridCol w:w="781"/>
        <w:gridCol w:w="166"/>
        <w:gridCol w:w="146"/>
        <w:gridCol w:w="211"/>
        <w:gridCol w:w="841"/>
        <w:gridCol w:w="166"/>
        <w:gridCol w:w="146"/>
        <w:gridCol w:w="211"/>
        <w:gridCol w:w="841"/>
        <w:gridCol w:w="166"/>
        <w:gridCol w:w="146"/>
        <w:gridCol w:w="211"/>
        <w:gridCol w:w="841"/>
        <w:gridCol w:w="611"/>
      </w:tblGrid>
      <w:tr>
        <w:trPr/>
        <w:tc>
          <w:tcPr>
            <w:tcW w:w="4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services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$15,908, $108, $16,539, $215 for the three and six months ended June 30, 2025 and 2024,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atements_of_cash_flow"/>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8998" w:type="dxa"/>
        <w:jc w:val="left"/>
        <w:tblInd w:w="0" w:type="dxa"/>
        <w:tblLayout w:type="fixed"/>
        <w:tblCellMar>
          <w:top w:w="28" w:type="dxa"/>
          <w:left w:w="28" w:type="dxa"/>
          <w:bottom w:w="28" w:type="dxa"/>
          <w:right w:w="28" w:type="dxa"/>
        </w:tblCellMar>
      </w:tblPr>
      <w:tblGrid>
        <w:gridCol w:w="5971"/>
        <w:gridCol w:w="211"/>
        <w:gridCol w:w="841"/>
        <w:gridCol w:w="166"/>
        <w:gridCol w:w="146"/>
        <w:gridCol w:w="211"/>
        <w:gridCol w:w="841"/>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exercise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marketable equity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warrant contract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capitalized software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deferred revenue of $36,685 and $0 as of June 30, 2025 and December 31, 2024,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8"/>
        <w:gridCol w:w="211"/>
        <w:gridCol w:w="841"/>
        <w:gridCol w:w="166"/>
        <w:gridCol w:w="146"/>
        <w:gridCol w:w="211"/>
        <w:gridCol w:w="931"/>
        <w:gridCol w:w="411"/>
      </w:tblGrid>
      <w:tr>
        <w:trPr/>
        <w:tc>
          <w:tcPr>
            <w:tcW w:w="7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connection with initial public offering, net of underwriting discounts and commissions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related to net share settlement of 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G-5 Preferred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indemnity holdback related to acquisition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502,631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payable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issued in connection with business combinations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fees, accrued but not yet paid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to common stock in connection with initial public offering</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related to net share settlement of restricted stock units not yet paid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offering costs to additional paid-in capital upon initial public offering</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Voting Common Stock issued in connection with business combinations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G-3 Preferred Stock</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G-4 Preferred Stock</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REDEEMABLE CONVERTIBLE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atement_of_equity"/>
      <w:bookmarkEnd w:id="7"/>
      <w:r>
        <w:rPr>
          <w:rFonts w:ascii="Times New Roman" w:hAnsi="Times New Roman"/>
          <w:b/>
          <w:color w:val="000000"/>
          <w:sz w:val="20"/>
        </w:rPr>
        <w:t>PREFERRED STOCK, COMMON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1"/>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79"/>
        <w:gridCol w:w="637"/>
        <w:gridCol w:w="146"/>
        <w:gridCol w:w="180"/>
        <w:gridCol w:w="591"/>
        <w:gridCol w:w="198"/>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157,076,972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2,210,664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56,339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6,391,439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5,112,416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310,320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(110,880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168,580,827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2,566,412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(2,261,714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309,562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3039" w:type="dxa"/>
        <w:jc w:val="left"/>
        <w:tblInd w:w="0" w:type="dxa"/>
        <w:tblLayout w:type="fixed"/>
        <w:tblCellMar>
          <w:top w:w="28" w:type="dxa"/>
          <w:left w:w="28" w:type="dxa"/>
          <w:bottom w:w="28" w:type="dxa"/>
          <w:right w:w="28" w:type="dxa"/>
        </w:tblCellMar>
      </w:tblPr>
      <w:tblGrid>
        <w:gridCol w:w="796"/>
        <w:gridCol w:w="146"/>
        <w:gridCol w:w="691"/>
        <w:gridCol w:w="151"/>
        <w:gridCol w:w="166"/>
        <w:gridCol w:w="631"/>
        <w:gridCol w:w="151"/>
        <w:gridCol w:w="146"/>
        <w:gridCol w:w="706"/>
        <w:gridCol w:w="146"/>
        <w:gridCol w:w="170"/>
        <w:gridCol w:w="356"/>
        <w:gridCol w:w="146"/>
        <w:gridCol w:w="146"/>
        <w:gridCol w:w="586"/>
        <w:gridCol w:w="146"/>
        <w:gridCol w:w="170"/>
        <w:gridCol w:w="356"/>
        <w:gridCol w:w="146"/>
        <w:gridCol w:w="146"/>
        <w:gridCol w:w="631"/>
        <w:gridCol w:w="151"/>
        <w:gridCol w:w="170"/>
        <w:gridCol w:w="356"/>
        <w:gridCol w:w="146"/>
        <w:gridCol w:w="146"/>
        <w:gridCol w:w="541"/>
        <w:gridCol w:w="151"/>
        <w:gridCol w:w="166"/>
        <w:gridCol w:w="421"/>
        <w:gridCol w:w="151"/>
        <w:gridCol w:w="166"/>
        <w:gridCol w:w="586"/>
        <w:gridCol w:w="151"/>
        <w:gridCol w:w="166"/>
        <w:gridCol w:w="631"/>
        <w:gridCol w:w="151"/>
        <w:gridCol w:w="296"/>
        <w:gridCol w:w="620"/>
        <w:gridCol w:w="151"/>
        <w:gridCol w:w="166"/>
        <w:gridCol w:w="631"/>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Redeemable Convertible </w:t>
              <w:br/>
              <w:t>Preferred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63,525,953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58,367,961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5,205,802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(1,396,917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(1,382,163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G-4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G-5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3,489,981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stock issued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initial public offering, net of underwriting discounts and other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 to common stock in connection with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(67,093,065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(1,343,382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71,976,178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1,348,809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non-voting common stock to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5,069,477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(5,214,943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2,651,848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488,313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(616,955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(616,955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149,274,923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2,163,911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(2,061,980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98,251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REDEEMABLE CONVERTIBLE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PREFERRED STOCK, COMMON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1"/>
        <w:gridCol w:w="146"/>
        <w:gridCol w:w="146"/>
        <w:gridCol w:w="706"/>
        <w:gridCol w:w="146"/>
        <w:gridCol w:w="170"/>
        <w:gridCol w:w="356"/>
        <w:gridCol w:w="146"/>
        <w:gridCol w:w="146"/>
        <w:gridCol w:w="586"/>
        <w:gridCol w:w="146"/>
        <w:gridCol w:w="263"/>
        <w:gridCol w:w="263"/>
        <w:gridCol w:w="146"/>
        <w:gridCol w:w="146"/>
        <w:gridCol w:w="541"/>
        <w:gridCol w:w="151"/>
        <w:gridCol w:w="166"/>
        <w:gridCol w:w="421"/>
        <w:gridCol w:w="151"/>
        <w:gridCol w:w="166"/>
        <w:gridCol w:w="586"/>
        <w:gridCol w:w="151"/>
        <w:gridCol w:w="166"/>
        <w:gridCol w:w="631"/>
        <w:gridCol w:w="151"/>
        <w:gridCol w:w="279"/>
        <w:gridCol w:w="637"/>
        <w:gridCol w:w="146"/>
        <w:gridCol w:w="193"/>
        <w:gridCol w:w="578"/>
        <w:gridCol w:w="198"/>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167,989,074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2,543,957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(2,218,871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326,194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(42,843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168,580,827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2,566,412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(2,261,714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309,562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3039" w:type="dxa"/>
        <w:jc w:val="left"/>
        <w:tblInd w:w="0" w:type="dxa"/>
        <w:tblLayout w:type="fixed"/>
        <w:tblCellMar>
          <w:top w:w="28" w:type="dxa"/>
          <w:left w:w="28" w:type="dxa"/>
          <w:bottom w:w="28" w:type="dxa"/>
          <w:right w:w="28" w:type="dxa"/>
        </w:tblCellMar>
      </w:tblPr>
      <w:tblGrid>
        <w:gridCol w:w="796"/>
        <w:gridCol w:w="146"/>
        <w:gridCol w:w="691"/>
        <w:gridCol w:w="151"/>
        <w:gridCol w:w="166"/>
        <w:gridCol w:w="631"/>
        <w:gridCol w:w="151"/>
        <w:gridCol w:w="146"/>
        <w:gridCol w:w="706"/>
        <w:gridCol w:w="146"/>
        <w:gridCol w:w="170"/>
        <w:gridCol w:w="356"/>
        <w:gridCol w:w="146"/>
        <w:gridCol w:w="146"/>
        <w:gridCol w:w="586"/>
        <w:gridCol w:w="146"/>
        <w:gridCol w:w="170"/>
        <w:gridCol w:w="356"/>
        <w:gridCol w:w="146"/>
        <w:gridCol w:w="146"/>
        <w:gridCol w:w="631"/>
        <w:gridCol w:w="151"/>
        <w:gridCol w:w="170"/>
        <w:gridCol w:w="356"/>
        <w:gridCol w:w="146"/>
        <w:gridCol w:w="146"/>
        <w:gridCol w:w="541"/>
        <w:gridCol w:w="151"/>
        <w:gridCol w:w="166"/>
        <w:gridCol w:w="421"/>
        <w:gridCol w:w="151"/>
        <w:gridCol w:w="166"/>
        <w:gridCol w:w="586"/>
        <w:gridCol w:w="151"/>
        <w:gridCol w:w="166"/>
        <w:gridCol w:w="631"/>
        <w:gridCol w:w="151"/>
        <w:gridCol w:w="296"/>
        <w:gridCol w:w="620"/>
        <w:gridCol w:w="151"/>
        <w:gridCol w:w="166"/>
        <w:gridCol w:w="631"/>
        <w:gridCol w:w="19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Redeemable Convertible </w:t>
              <w:br/>
              <w:t>Preferred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63,603,084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1,134,802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58,367,961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5,214,943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(1,489,467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(1,474,425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Series G-5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3,489,981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initial public offering, net of underwriting discounts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369,604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redeemable convertible preferred stock to common stock in connection with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(67,093,065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(1,343,382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71,976,178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1,357,562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1,348,809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non-voting common stock to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5,069,477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(5,214,943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2,651,848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(70,082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488,313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488,313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(552,212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(552,212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149,274,923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2,163,911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(2,061,980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98,251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8" w:name="notes_condensed_consolidated_financial"/>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jc w:val="left"/>
        <w:rPr>
          <w:rFonts w:ascii="Times New Roman" w:hAnsi="Times New Roman"/>
          <w:sz w:val="20"/>
        </w:rPr>
      </w:pPr>
      <w:r>
        <w:rPr>
          <w:rFonts w:ascii="Times New Roman" w:hAnsi="Times New Roman"/>
          <w:b/>
          <w:color w:val="000000"/>
          <w:sz w:val="20"/>
        </w:rPr>
        <w:t>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 Effective August 7, 2025, the Company reincorporated, by conversion, from a Delaware corporation to a Nevada corporation.</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the significant segment expenses reconciled to total selling, general and administrative expenses shown on the consolidated statements of operations and comprehensive loss. Other selling, general, and administrative expenses include facilities, professional fees, marketing, travel and entertainment, depreciation and amortization, and stock-based compensation (see Note 12). </w:t>
      </w:r>
    </w:p>
    <w:p>
      <w:pPr>
        <w:pStyle w:val="TextBody"/>
        <w:bidi w:val="0"/>
        <w:jc w:val="left"/>
        <w:rPr/>
      </w:pPr>
      <w:r>
        <w:rPr/>
        <w:t> </w:t>
      </w:r>
    </w:p>
    <w:tbl>
      <w:tblPr>
        <w:tblW w:w="9221" w:type="dxa"/>
        <w:jc w:val="left"/>
        <w:tblInd w:w="0" w:type="dxa"/>
        <w:tblLayout w:type="fixed"/>
        <w:tblCellMar>
          <w:top w:w="28" w:type="dxa"/>
          <w:left w:w="28" w:type="dxa"/>
          <w:bottom w:w="28" w:type="dxa"/>
          <w:right w:w="28" w:type="dxa"/>
        </w:tblCellMar>
      </w:tblPr>
      <w:tblGrid>
        <w:gridCol w:w="3886"/>
        <w:gridCol w:w="211"/>
        <w:gridCol w:w="781"/>
        <w:gridCol w:w="146"/>
        <w:gridCol w:w="146"/>
        <w:gridCol w:w="211"/>
        <w:gridCol w:w="781"/>
        <w:gridCol w:w="146"/>
        <w:gridCol w:w="146"/>
        <w:gridCol w:w="211"/>
        <w:gridCol w:w="781"/>
        <w:gridCol w:w="146"/>
        <w:gridCol w:w="146"/>
        <w:gridCol w:w="211"/>
        <w:gridCol w:w="781"/>
        <w:gridCol w:w="491"/>
      </w:tblGrid>
      <w:tr>
        <w:trPr/>
        <w:tc>
          <w:tcPr>
            <w:tcW w:w="3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 payroll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Cloud and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542,636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color w:val="000000"/>
          <w:sz w:val="20"/>
        </w:rPr>
        <w:t>Principles of Consolidation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normally included in the annual consolidated financial statements prepared in accordance with GAAP have been omitted. Accordingly, the unaudited interim condensed consolidated financial statements should be read in conjunction with the audited consolidated financial statements and notes included in the Company’s Form 10-K for the year ended December 31, 2024. The unaudited interim condensed 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the Company, the accompanying unaudited condensed consolidated financial statements contain all adjustments, consisting of only normal recurring adjustments, necessary for a fair statement of its financial position as of June 30, 2025 and its results of operations for the three and six months ended June 30, 2025 and 2024, and cash flows for the six months ended June 30, 2025 and 2024. The condensed consolidated balance sheet at December 31, 2024, was derived from audited annual financial statements but does not contain all of the footnote disclosures from the annual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believes that its existing cash and cash equivalents and marketable equity securities at June 30, 2025, inclusive of the proceeds from the Offering (as defined in Note 13) received in July 2025, will be sufficient to allow the Company to fund its current operating plan through at least a period of one year from the date of issuance of this Quarterly Report on Form 10-Q.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described in Note 4, there have been no changes to the Company’s significant accounting policies described in the “Notes to the Consolidated Financial Statements” included in the Company’s Annual Report on Form 10-K for the year ended December 31, 2024 that have had a material impact on the Company’s consolidated financial statements and accompanying notes.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aggregate market value of shares of the Company’s Class A common stock held by non-affiliates as of June 30, 2025, the Company expects to become a “large accelerated filer” and no longer qualify as an emerging growth company as of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the useful lives of property, equipment and intangible assets, and the cash flows used in determining the fair value of acquired intangible assets. Actual results could differ from those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 to Income Tax Disclosures.” ASU 2023-09 requires additional disclosures aimed at enhancing the transparency and decision usefulness of income tax disclosures. This ASU is effective for fiscal years beginning after December 15, 2024. The Company does not expect this ASU to have a material impact on the Company's disclosures. The Company plans to adopt the guidance for the fiscal year ending December 31, 2025 on a prospective basis.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 xml:space="preserve">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requires retrospective application to all prior periods presented in the financial statements. The Company is currently evaluating the impact of the guidance on the related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RECOGNITION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from selling lab services (“Genomics”) to physicians, genetic counselors,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revenue in accordance with Financial Accounting Standards Board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commences revenue recognition when control of these products is transferred to customers in an amount that 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 </w:t>
      </w:r>
    </w:p>
    <w:p>
      <w:pPr>
        <w:pStyle w:val="TextBody"/>
        <w:bidi w:val="0"/>
        <w:spacing w:before="36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disaggregation of revenue based on Genomics and Data and services on the condensed consolidated statements of operations and comprehensive loss, as it believes these best depict how the nature, amount, timing and uncertainty of revenue and cash flows are affected by economic factors.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Genomics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$241.8 million and $112.3 million for the three months ended June 30, 2025 and 2024, respectively. The Company recognized Genomics revenue of $435.6 million and $214.9 million for the six months ended June 30, 2025 and 2024,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$221.7 million and $101.7 million for the three months ended June 30, 2025 and 2024, respectively. The Company recognized revenue for clinical orders of $403.2 million and $195.1 million for the six months ended June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$20.1 million and $10.6 million for the three months ended June 30, 2025 and 2024, respectively. The Company recognized Genomics revenue for direct bill orders of $32.4 million and $19.8 million for the six months ended June 30, 2025 and 2024,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The Company’s two product offerings are as follows: </w:t>
      </w:r>
    </w:p>
    <w:p>
      <w:pPr>
        <w:pStyle w:val="TextBody"/>
        <w:bidi w:val="0"/>
        <w:spacing w:before="360" w:after="283"/>
        <w:jc w:val="left"/>
        <w:rPr>
          <w:rFonts w:ascii="Times New Roman" w:hAnsi="Times New Roman"/>
          <w:sz w:val="20"/>
        </w:rPr>
      </w:pPr>
      <w:r>
        <w:rPr>
          <w:rFonts w:ascii="Times New Roman" w:hAnsi="Times New Roman"/>
          <w:i/>
          <w:color w:val="000000"/>
          <w:sz w:val="20"/>
        </w:rPr>
        <w:t>Insights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that the delivery of de-identified records and, when applicable, analytical services, and access to its enhanced Lens application are separate and distinct performance obligations. The primary Insights contract types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Data licensing on a one-time or limited duration basis</w:t>
      </w:r>
      <w:r>
        <w:rPr>
          <w:color w:val="000000"/>
        </w:rPr>
        <w:t xml:space="preserve"> – </w:t>
      </w:r>
      <w:r>
        <w:rPr>
          <w:rFonts w:ascii="Times New Roman" w:hAnsi="Times New Roman"/>
          <w:color w:val="000000"/>
          <w:sz w:val="20"/>
        </w:rPr>
        <w:t xml:space="preserve">Customer licenses a specific dataset of records, and the Company accounts for 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Multi-year data subscriptions</w:t>
      </w:r>
      <w:r>
        <w:rPr>
          <w:color w:val="000000"/>
        </w:rPr>
        <w:t xml:space="preserve"> – </w:t>
      </w:r>
      <w:r>
        <w:rPr>
          <w:rFonts w:ascii="Times New Roman" w:hAnsi="Times New Roman"/>
          <w:color w:val="000000"/>
          <w:sz w:val="20"/>
        </w:rPr>
        <w:t xml:space="preserve">Customer licenses de-identified records, and the Company accounts for the service as a right to access license and one performance obligation. Revenue is recognized as access to the dataset is provided, ratably over-time, with the measure of progress time-based.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Analytical services and other services</w:t>
      </w:r>
      <w:r>
        <w:rPr>
          <w:color w:val="000000"/>
        </w:rPr>
        <w:t xml:space="preserve"> – </w:t>
      </w:r>
      <w:r>
        <w:rPr>
          <w:rFonts w:ascii="Times New Roman" w:hAnsi="Times New Roman"/>
          <w:color w:val="000000"/>
          <w:sz w:val="20"/>
        </w:rPr>
        <w:t xml:space="preserve">Services typically involve data analysis and research performed on behalf of the customer by the Company. The resulting delivery of data, or a report addressing a series of questions and analytical results, is considered a single performance obligation. Revenue is generally recognized upon the delivery of these services, as defined by the contract.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Enhanced Lens application subscription services</w:t>
      </w:r>
      <w:r>
        <w:rPr>
          <w:color w:val="000000"/>
        </w:rPr>
        <w:t xml:space="preserve"> – </w:t>
      </w:r>
      <w:r>
        <w:rPr>
          <w:rFonts w:ascii="Times New Roman" w:hAnsi="Times New Roman"/>
          <w:color w:val="000000"/>
          <w:sz w:val="20"/>
        </w:rPr>
        <w:t xml:space="preserve">Customer licenses access to the Company’s enhanced Lens application under a software-as-a-service model. Customers do not have the right to take possession of the Lens platform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pPr>
      <w:r>
        <w:rPr>
          <w:rFonts w:ascii="Times New Roman" w:hAnsi="Times New Roman"/>
          <w:color w:val="000000"/>
          <w:sz w:val="20"/>
        </w:rPr>
        <w:t>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Cloud hosting services </w:t>
      </w:r>
      <w:r>
        <w:rPr>
          <w:color w:val="000000"/>
        </w:rPr>
        <w:t xml:space="preserve">– </w:t>
      </w:r>
      <w:r>
        <w:rPr>
          <w:rFonts w:ascii="Times New Roman" w:hAnsi="Times New Roman"/>
          <w:color w:val="000000"/>
          <w:sz w:val="20"/>
        </w:rPr>
        <w:t>The Company provides cloud hosting services to customers via a third party cloud infrastructure provider. Revenue is recognized as the related compute and storage costs are incurred by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revenue from Insights products of $57.2 million and $40.7 million for the three months ended June 30, 2025 and 2024, respectively and $106.7 million and $72.0 million for the six months ended June 30, 2025 and 2024,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Trials product includes TIME clinical trial matching services and other clinical trial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TIME, the Company provides other clinical trial services conducting or supporting studies. Tempus Compass LLC, a subsidiary of the Company, is a contract research organization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from Trials products of $9.8 million and $10.5 million for the three months ended June 30, 2025 and 2024, respectively and $19.5 million and $21.8 million for the six months ended June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$72.8 million and $53.6 million for the three months ended June 30, 2025 and 2024, respectively and $134.7 million and $96.9 million for the six months ended June 30, 2025 and 2024,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Multi-year Contract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$390.5 million as of June 30, 2025, of which the Company expects to recognize approximately 45% as revenue over the next year, and the remaining 34% and 21% of its remaining performance obligations as revenue in years two and three,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June 30, 2025 and December 31, 2024 included contract assets of $3.1 million and $4.1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w:t>
      </w:r>
      <w:r>
        <w:rPr>
          <w:rFonts w:ascii="Times New Roman" w:hAnsi="Times New Roman"/>
          <w:i/>
          <w:color w:val="000000"/>
          <w:sz w:val="20"/>
        </w:rPr>
        <w:t>Compensation—Stock Compensation</w:t>
      </w:r>
      <w:r>
        <w:rPr>
          <w:rFonts w:ascii="Times New Roman" w:hAnsi="Times New Roman"/>
          <w:color w:val="000000"/>
          <w:sz w:val="20"/>
        </w:rPr>
        <w:t>.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 expenses and other current assets. The warrant was terminated for no consideration on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the Company entered into a Commercialization and Reference Laboratory Agreement with Personalis, Inc. (“Personalis”), which was subsequently amended in August 2024. The Company will pay up to $12.0 million to Personalis over three years as certain milestones are met, $11.0 million of which has been paid as of June 30, 2025. These payments are treated as contract assets and amortized into revenue over the life of the contract. Contract asset balances are offset by deferred revenue generated from receipt of warrants for Personalis common stock (see Note 16). As of June 30, 2025 and December 31, 2024, there was $4.5 million and $3.0 million, respectively, of net contract assets related to this agreement recorded in Prepaid expenses and other current assets,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Services product offerings and timing of 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$50.4 million and $39.5 million during the six months ended June 30, 2025 and 2024, respectively, that was included in the corresponding deferred revenue balance at the beginning of the periods.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BUSINESS COMBINATIONS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Ambry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$7.2 million of transaction costs related to the Ambry Acquisition, of which $1.5 million and $4.5 million were recorded within Selling, general and administrative expense in the consolidated statement of operations during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Ambry Acquisition (in thousands):</w:t>
      </w:r>
    </w:p>
    <w:p>
      <w:pPr>
        <w:pStyle w:val="TextBody"/>
        <w:bidi w:val="0"/>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464,157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231,186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acquisition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695,343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and discount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and expenses, royalty rate, and discount rate. In addition, the valuation of developed technology assets included assumed obsolescence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the valuation of identifiable intangible assets acquired required various estimates and assumptions. Accordingly, the purchase price adjustments are preliminary and are subject to further adjustments as additional information becomes available and additional analyses are performed, and such further adjustments may be material. The Company's management believes the fair values recognized for the assets acquired and liabilities assumed are based on reasonable estimates and assumptions.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Estimated useful lives of the identifiable intangible assets acquired are as follows:</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806"/>
        <w:gridCol w:w="146"/>
        <w:gridCol w:w="106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unaudited pro forma information shows the results of the Company's operations as though the acquisition had occurred as of the beginning of the comparable period, January 1, 2024 (in thousands):</w:t>
      </w:r>
    </w:p>
    <w:p>
      <w:pPr>
        <w:pStyle w:val="TextBody"/>
        <w:bidi w:val="0"/>
        <w:spacing w:before="40" w:after="283"/>
        <w:jc w:val="left"/>
        <w:rPr/>
      </w:pPr>
      <w:r>
        <w:rPr/>
        <w:t> </w:t>
      </w:r>
    </w:p>
    <w:tbl>
      <w:tblPr>
        <w:tblW w:w="6357" w:type="dxa"/>
        <w:jc w:val="left"/>
        <w:tblInd w:w="0" w:type="dxa"/>
        <w:tblLayout w:type="fixed"/>
        <w:tblCellMar>
          <w:top w:w="28" w:type="dxa"/>
          <w:left w:w="28" w:type="dxa"/>
          <w:bottom w:w="28" w:type="dxa"/>
          <w:right w:w="28" w:type="dxa"/>
        </w:tblCellMar>
      </w:tblPr>
      <w:tblGrid>
        <w:gridCol w:w="916"/>
        <w:gridCol w:w="146"/>
        <w:gridCol w:w="211"/>
        <w:gridCol w:w="781"/>
        <w:gridCol w:w="166"/>
        <w:gridCol w:w="146"/>
        <w:gridCol w:w="211"/>
        <w:gridCol w:w="841"/>
        <w:gridCol w:w="166"/>
        <w:gridCol w:w="146"/>
        <w:gridCol w:w="211"/>
        <w:gridCol w:w="841"/>
        <w:gridCol w:w="166"/>
        <w:gridCol w:w="146"/>
        <w:gridCol w:w="211"/>
        <w:gridCol w:w="841"/>
        <w:gridCol w:w="2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unaudited pro forma financial information for the three and six months ended June 30, 2024 combines the Company's financial results and the historical results of Ambry for the three and six months ended June 30, 2025 and 2024. Included in the adjustment is a $46.2 million tax benefit for the three months ended June 30, 2025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Ambry contributed $97.3 million in net revenue within Genomics revenue and $2.2 million of net income to the consolidated Tempus results. For the six months ended June 30, 2025, Ambry contributed $160.8 million in net revenue within Genomics revenue and $7.7 million of net income to the consolidated Tempus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805, Business Combinations ("ASC 805"), the Company accounted for the Ambry Acquisition as a business combination under the acquisition method of accounting. The valuation of assets acquired and liabilities assumed has not been finalized as of June 30, 2025. While all amounts remain subject to adjustments, the areas subject to the most significant potential adjustments are intangible assets and deferred income taxes. As a result, the Company recorded preliminary estimates for the fair value of assets acquired and liabilities assumed as of the Closing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Deep 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11, 2025, the Company acquired all of the issued and outstanding interests of Deep 6 AI, Inc. ("Deep 6"), a Delaware corporation,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resulted in goodwill of $21.1 million. The aggregate acquisition date fair value of consideration for the Deep 6 acquisition totaled $17.4 million. Consideration consisted of $4.3 million of cash and $13.1 million of Class A common stock. In accordance with the terms of the agreement, $0.8 million in equity consideration was held back and is payable within five business days of March 11, 2026. The $0.8 million holdback liability is recognized within Other current liabilities. The holdback liability is remeasured at fair value in each period following the closing within selling, general and administrative expense.</w:t>
      </w:r>
    </w:p>
    <w:p>
      <w:pPr>
        <w:pStyle w:val="TextBody"/>
        <w:bidi w:val="0"/>
        <w:spacing w:before="360" w:after="283"/>
        <w:jc w:val="left"/>
        <w:rPr>
          <w:rFonts w:ascii="Times New Roman" w:hAnsi="Times New Roman"/>
          <w:sz w:val="20"/>
        </w:rPr>
      </w:pPr>
      <w:r>
        <w:rPr>
          <w:rFonts w:ascii="Times New Roman" w:hAnsi="Times New Roman"/>
          <w:b/>
          <w:color w:val="000000"/>
          <w:sz w:val="20"/>
        </w:rPr>
        <w:t>SEngine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 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 In December 2024, the Company issued 19,620 shares of Class A common stock as payment of the contingent consideration. As of June 30, 2025, no other amounts are due under the contingent consideration or holdback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Mpirik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summarizes property and equipment, net as of June 30, 2025 and December 31, 2024 (in thousands): </w:t>
      </w:r>
    </w:p>
    <w:p>
      <w:pPr>
        <w:pStyle w:val="TextBody"/>
        <w:bidi w:val="0"/>
        <w:jc w:val="left"/>
        <w:rPr/>
      </w:pPr>
      <w:r>
        <w:rPr/>
        <w:t> </w:t>
      </w:r>
    </w:p>
    <w:tbl>
      <w:tblPr>
        <w:tblW w:w="6755" w:type="dxa"/>
        <w:jc w:val="left"/>
        <w:tblInd w:w="0" w:type="dxa"/>
        <w:tblLayout w:type="fixed"/>
        <w:tblCellMar>
          <w:top w:w="28" w:type="dxa"/>
          <w:left w:w="28" w:type="dxa"/>
          <w:bottom w:w="28" w:type="dxa"/>
          <w:right w:w="28" w:type="dxa"/>
        </w:tblCellMar>
      </w:tblPr>
      <w:tblGrid>
        <w:gridCol w:w="3261"/>
        <w:gridCol w:w="146"/>
        <w:gridCol w:w="225"/>
        <w:gridCol w:w="900"/>
        <w:gridCol w:w="166"/>
        <w:gridCol w:w="146"/>
        <w:gridCol w:w="301"/>
        <w:gridCol w:w="1199"/>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on property and equipment is classified as follows in the accompanying condensed consolidated statements of operations for the three and six months ended June 30, 2025 and 2024 (in thousands): </w:t>
      </w:r>
    </w:p>
    <w:p>
      <w:pPr>
        <w:pStyle w:val="TextBody"/>
        <w:bidi w:val="0"/>
        <w:jc w:val="left"/>
        <w:rPr/>
      </w:pPr>
      <w:r>
        <w:rPr/>
        <w:t> </w:t>
      </w:r>
    </w:p>
    <w:tbl>
      <w:tblPr>
        <w:tblW w:w="8567" w:type="dxa"/>
        <w:jc w:val="left"/>
        <w:tblInd w:w="0" w:type="dxa"/>
        <w:tblLayout w:type="fixed"/>
        <w:tblCellMar>
          <w:top w:w="28" w:type="dxa"/>
          <w:left w:w="28" w:type="dxa"/>
          <w:bottom w:w="28" w:type="dxa"/>
          <w:right w:w="28" w:type="dxa"/>
        </w:tblCellMar>
      </w:tblPr>
      <w:tblGrid>
        <w:gridCol w:w="3406"/>
        <w:gridCol w:w="146"/>
        <w:gridCol w:w="257"/>
        <w:gridCol w:w="697"/>
        <w:gridCol w:w="178"/>
        <w:gridCol w:w="178"/>
        <w:gridCol w:w="257"/>
        <w:gridCol w:w="697"/>
        <w:gridCol w:w="146"/>
        <w:gridCol w:w="146"/>
        <w:gridCol w:w="211"/>
        <w:gridCol w:w="677"/>
        <w:gridCol w:w="146"/>
        <w:gridCol w:w="146"/>
        <w:gridCol w:w="211"/>
        <w:gridCol w:w="677"/>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June 30, 2025 and December 31, 2024, consist of the following (in thousands): </w:t>
      </w:r>
    </w:p>
    <w:p>
      <w:pPr>
        <w:pStyle w:val="TextBody"/>
        <w:bidi w:val="0"/>
        <w:jc w:val="left"/>
        <w:rPr/>
      </w:pPr>
      <w:r>
        <w:rPr/>
        <w:t> </w:t>
      </w:r>
    </w:p>
    <w:tbl>
      <w:tblPr>
        <w:tblW w:w="8990" w:type="dxa"/>
        <w:jc w:val="left"/>
        <w:tblInd w:w="0" w:type="dxa"/>
        <w:tblLayout w:type="fixed"/>
        <w:tblCellMar>
          <w:top w:w="28" w:type="dxa"/>
          <w:left w:w="28" w:type="dxa"/>
          <w:bottom w:w="28" w:type="dxa"/>
          <w:right w:w="28" w:type="dxa"/>
        </w:tblCellMar>
      </w:tblPr>
      <w:tblGrid>
        <w:gridCol w:w="5536"/>
        <w:gridCol w:w="146"/>
        <w:gridCol w:w="239"/>
        <w:gridCol w:w="886"/>
        <w:gridCol w:w="146"/>
        <w:gridCol w:w="146"/>
        <w:gridCol w:w="319"/>
        <w:gridCol w:w="1181"/>
        <w:gridCol w:w="3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cloud storage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GOODWILL AND INTANGIBLES </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represents the excess of the purchase price in a business combination over the fair value of net tangible and intangible assets acquired. During the six months ended June 30, 2025, goodwill of $252.3 million was recorded in connection with the Ambry Acquisition and Deep 6 Acquisition. There were no goodwill additions for the three months ended June 30, 2025 or the three and six months ended June 30, 2024. The Company recorded no impairment loss during the three and six months ended June 30, 2025 and 2024. </w:t>
      </w:r>
    </w:p>
    <w:p>
      <w:pPr>
        <w:pStyle w:val="TextBody"/>
        <w:bidi w:val="0"/>
        <w:spacing w:before="360" w:after="283"/>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2025 the Company recorded $5.7 million in licensed data related to de-identified data obtained through amended agreements and $2.0 million in capitalized software. During the six months ended June 30, 2025, the Company recorded an additional $234.0 million in customer relationships, $114.0 million in developed technology - biotech, $33.0 million in trade names, $18.0 million in developed technology - software, $5.7 million in licensed data, and $3.3 million in capitalized software. During the three and six months ended June 30, 2024, the Company did not record any additions in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impairment charges recognized related to intangible assets during the three and six months ended June 30,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intangible assets as of June 30, 2025 and December 31, 2024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6"/>
        <w:gridCol w:w="146"/>
        <w:gridCol w:w="211"/>
        <w:gridCol w:w="781"/>
        <w:gridCol w:w="146"/>
        <w:gridCol w:w="146"/>
        <w:gridCol w:w="342"/>
        <w:gridCol w:w="1098"/>
        <w:gridCol w:w="146"/>
        <w:gridCol w:w="146"/>
        <w:gridCol w:w="211"/>
        <w:gridCol w:w="781"/>
        <w:gridCol w:w="146"/>
        <w:gridCol w:w="146"/>
        <w:gridCol w:w="211"/>
        <w:gridCol w:w="676"/>
        <w:gridCol w:w="146"/>
        <w:gridCol w:w="146"/>
        <w:gridCol w:w="342"/>
        <w:gridCol w:w="1098"/>
        <w:gridCol w:w="146"/>
        <w:gridCol w:w="146"/>
        <w:gridCol w:w="211"/>
        <w:gridCol w:w="676"/>
        <w:gridCol w:w="195"/>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Licensed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 domain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Amortization of intangible assets is recognized using the straight-line method over their estimated useful lives, which range from three to seven years. Amortization expense was $19.7 million and $2.8 million for the three months ended June 30, 2025 and 2024, respectively, and $32.2 million and $5.7 million for the six months ended June 30, 2025 and 2024, respectively, and is recorded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cost of revenues, research and development, or selling, general and administrative expense, depending on use of the asset. The weighted average life of the Company’s intangibles is approximately six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the estimated future amortization expense related to intangible assets is as follows (in thousands): </w:t>
      </w:r>
    </w:p>
    <w:p>
      <w:pPr>
        <w:pStyle w:val="TextBody"/>
        <w:bidi w:val="0"/>
        <w:spacing w:before="40" w:after="283"/>
        <w:jc w:val="left"/>
        <w:rPr/>
      </w:pPr>
      <w:r>
        <w:rPr/>
        <w:t> </w:t>
      </w:r>
    </w:p>
    <w:tbl>
      <w:tblPr>
        <w:tblW w:w="3164" w:type="dxa"/>
        <w:jc w:val="left"/>
        <w:tblInd w:w="0" w:type="dxa"/>
        <w:tblLayout w:type="fixed"/>
        <w:tblCellMar>
          <w:top w:w="28" w:type="dxa"/>
          <w:left w:w="28" w:type="dxa"/>
          <w:bottom w:w="28" w:type="dxa"/>
          <w:right w:w="28" w:type="dxa"/>
        </w:tblCellMar>
      </w:tblPr>
      <w:tblGrid>
        <w:gridCol w:w="1981"/>
        <w:gridCol w:w="211"/>
        <w:gridCol w:w="78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7/1/2025 - 12/31/2025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JOINT VENTURE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SB Tempus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maximum exposure to loss from SB Tempus is equal to the carrying value of the Company's investment. As of June 30, 2025, the carrying value of the investment in SB Tempus was $95.7 million. The Company's share of losses from SB Tempus are recorded in 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services revenue over the term of the license subscription which ends on March 31, 2026. For the three and six months ended June 30, 2025, the Company recognized $6.2 million and $12.5 million, respectively, in Data and services revenue related to the Data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income (expense), net over three years, based on the estimated time for SB Tempus' systems and technologies to diverge from the Company's. For the three and six months ended June 30, 2025, the Company recognized $4.0 million and $8.0 million, respectively, related to the IP License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three months ended June 30, 2025 and 2024, the Company recognized data licensing and cloud computing expenses of $9.1 million and $9.8 million, respectively, related to non-cancelable arrangements. For the six months ended June 30, 2025 and 2024, the Company recognized data licensing and cloud computing expenses of $23.3 million and $20.6 million, respectively, related to non-cancelable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future payments under these contractual obligations were as follows (in thousands):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4096"/>
        <w:gridCol w:w="211"/>
        <w:gridCol w:w="78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7/1/2025 - 12/31/2025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obligations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purchase obligations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purchase obligations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in the normal course of business, the Company may be subject to various legal matters such as threatened or pending claims or proceedings. There were no material such matters as of and for the three and six months ended June 30, 2025 and 2024.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various non-cancelable operating lease agreements, primarily for the rent of office and lab space, with expirations at various dates through 2032. Lease cost is recognized on a straight-line basis over the lease term. Variable lease costs, which include items such as real estate taxes, common area maintenance, utilities, and storage are not included in the calculation of the right-of-use assets and are recognized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total lease costs for the three and six months ended June 30, 2025 and 2024 are as follows (in thousands): </w:t>
      </w:r>
    </w:p>
    <w:p>
      <w:pPr>
        <w:pStyle w:val="TextBody"/>
        <w:bidi w:val="0"/>
        <w:jc w:val="left"/>
        <w:rPr/>
      </w:pPr>
      <w:r>
        <w:rPr/>
        <w:t> </w:t>
      </w:r>
    </w:p>
    <w:tbl>
      <w:tblPr>
        <w:tblW w:w="7406" w:type="dxa"/>
        <w:jc w:val="left"/>
        <w:tblInd w:w="0" w:type="dxa"/>
        <w:tblLayout w:type="fixed"/>
        <w:tblCellMar>
          <w:top w:w="28" w:type="dxa"/>
          <w:left w:w="28" w:type="dxa"/>
          <w:bottom w:w="28" w:type="dxa"/>
          <w:right w:w="28" w:type="dxa"/>
        </w:tblCellMar>
      </w:tblPr>
      <w:tblGrid>
        <w:gridCol w:w="1876"/>
        <w:gridCol w:w="320"/>
        <w:gridCol w:w="866"/>
        <w:gridCol w:w="251"/>
        <w:gridCol w:w="320"/>
        <w:gridCol w:w="866"/>
        <w:gridCol w:w="166"/>
        <w:gridCol w:w="146"/>
        <w:gridCol w:w="291"/>
        <w:gridCol w:w="787"/>
        <w:gridCol w:w="228"/>
        <w:gridCol w:w="291"/>
        <w:gridCol w:w="787"/>
        <w:gridCol w:w="211"/>
      </w:tblGrid>
      <w:tr>
        <w:trPr/>
        <w:tc>
          <w:tcPr>
            <w:tcW w:w="18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2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8,726</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Lease term and discount rate as of June 30, 2025 and December 31, 2024 are as follows: </w:t>
      </w:r>
    </w:p>
    <w:tbl>
      <w:tblPr>
        <w:tblW w:w="7713" w:type="dxa"/>
        <w:jc w:val="left"/>
        <w:tblInd w:w="0" w:type="dxa"/>
        <w:tblLayout w:type="fixed"/>
        <w:tblCellMar>
          <w:top w:w="28" w:type="dxa"/>
          <w:left w:w="28" w:type="dxa"/>
          <w:bottom w:w="28" w:type="dxa"/>
          <w:right w:w="28" w:type="dxa"/>
        </w:tblCellMar>
      </w:tblPr>
      <w:tblGrid>
        <w:gridCol w:w="4126"/>
        <w:gridCol w:w="367"/>
        <w:gridCol w:w="908"/>
        <w:gridCol w:w="271"/>
        <w:gridCol w:w="495"/>
        <w:gridCol w:w="1230"/>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the future payments under operating leases for each of the next five years and thereafter are as follows (in thousands): </w:t>
      </w:r>
    </w:p>
    <w:tbl>
      <w:tblPr>
        <w:tblW w:w="5692" w:type="dxa"/>
        <w:jc w:val="left"/>
        <w:tblInd w:w="0" w:type="dxa"/>
        <w:tblLayout w:type="fixed"/>
        <w:tblCellMar>
          <w:top w:w="28" w:type="dxa"/>
          <w:left w:w="28" w:type="dxa"/>
          <w:bottom w:w="28" w:type="dxa"/>
          <w:right w:w="28" w:type="dxa"/>
        </w:tblCellMar>
      </w:tblPr>
      <w:tblGrid>
        <w:gridCol w:w="3811"/>
        <w:gridCol w:w="378"/>
        <w:gridCol w:w="1212"/>
        <w:gridCol w:w="291"/>
      </w:tblGrid>
      <w:tr>
        <w:trPr/>
        <w:tc>
          <w:tcPr>
            <w:tcW w:w="38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7/1/2025 - 12/31/2025</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representing interest</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net minimum lease payments</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lease liabilities</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lease liabilities</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initial public offering of our Class A common stock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 common stock. In April 2024, the Company increased the number of authorized shares of Class A common stock to 204,590,500 in conjunction with the Series G-5 Preferred stock financing (see Note 11, Redeemable Convertible Preferred Stock). In connection with the IPO, the Restated Certificate became effective, which authorized 1,000,000,000 shares of Class A common stock, 5,500,000 shares of Class B common stock, and 20,000,000 shares of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Class A common stock and Class B common stock are collectively referred to as “Common Stock” throughout the notes to these unaudited interim condensed consolidated financial statements unless otherwise noted.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Class B common stock is convertible at any time at the option of the holder into one share of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Restated Certificate,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the twenty-year anniversary of the filing of the Restated Certificate, which was filed with the Secretary of State of the State of Delaware on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transferred and converted into Class A common stock, the Class B common stock may not be reissued.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stock-based awards to its employees in the form of stock options, restricted stock units, performance stock units and restricted stock, all of which have the potential to increase the outstanding shares of common stock in the future (see Note 12, Stock-Based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 was automatically cancelled and terminated for no consideration as AstraZeneca declined to extend its financial commitment before December 31, 2024. See Note 16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8, 2023, the Company issued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REDEEMABLE CONVERTIBLE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2024, the Company issued 66,465 shares of Series G-3 convertible preferred stock and 10,666 shares of Series G-4 convertible preferred stock as payment of paid-in-kind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2024, the Company issued 3,489,981 shares of Series G-5 convertible preferred stock (“Series G-5 Preferred”) for aggregate proceeds of $200.0 million. Each share has a par value of $0.0001. The Company will use the proceeds for working capital and general corporate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IPO, all of the Company’s then-outstanding shares of redeemable convertible preferred stock and accrued but unpaid dividends were automatically converted into 71,976,178 shares of Class A voting common stock and 5,043,789 shares of Class B voting common stock.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color w:val="000000"/>
          <w:sz w:val="20"/>
        </w:rPr>
        <w:t>2015 Stock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2015, the Company adopted the Tempus AI, Inc. 2015 Stock Plan (the “2015 Plan”), which has been amended and restated numerous times to increase the aggregate shares authorized to be issued to employees, consultants, and directors of the Company. As of December 31, 2023, there were 28,115,750 shares authorized under the 2015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IPO, no further grants will be made under the 2015 Stock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2024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restricted stock awards (“PSUs”) and other awards. The original maximum number of shares of Class A common stock that may be issued under the 2024 Plan was 7,430,000 shares of the Company’s Class A common stock and automatically increases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 As of June 30, 2025, there were 6,355,699 shares of the Company's Class A common stock that may be issued under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1,616,377 and 1,838,670 RSUs during the three and six months ended June 30, 2025, respectively. The Company granted 0 and 26,059 RSAs during the three and six months ended June 30, 2025, respectively, with a weighted-average grant date fair value of $45.58. Stock-based compensation on these awards is recognized on a straight-line basis over the requisite service periods of the awards. The Company recognized an immaterial amount of stock-based compensation related to the RSAs during the three and six months ended June 30, 2025.</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is classified as follows in the accompanying condensed consolidated statements of operations for the three and six months ended June 30, 2025 and 2024 (in thousands): </w:t>
      </w:r>
    </w:p>
    <w:p>
      <w:pPr>
        <w:pStyle w:val="TextBody"/>
        <w:bidi w:val="0"/>
        <w:spacing w:before="40" w:after="283"/>
        <w:jc w:val="left"/>
        <w:rPr/>
      </w:pPr>
      <w:r>
        <w:rPr/>
        <w:t> </w:t>
      </w:r>
    </w:p>
    <w:tbl>
      <w:tblPr>
        <w:tblW w:w="8335" w:type="dxa"/>
        <w:jc w:val="left"/>
        <w:tblInd w:w="0" w:type="dxa"/>
        <w:tblLayout w:type="fixed"/>
        <w:tblCellMar>
          <w:top w:w="28" w:type="dxa"/>
          <w:left w:w="28" w:type="dxa"/>
          <w:bottom w:w="28" w:type="dxa"/>
          <w:right w:w="28" w:type="dxa"/>
        </w:tblCellMar>
      </w:tblPr>
      <w:tblGrid>
        <w:gridCol w:w="3271"/>
        <w:gridCol w:w="146"/>
        <w:gridCol w:w="220"/>
        <w:gridCol w:w="705"/>
        <w:gridCol w:w="152"/>
        <w:gridCol w:w="152"/>
        <w:gridCol w:w="220"/>
        <w:gridCol w:w="815"/>
        <w:gridCol w:w="146"/>
        <w:gridCol w:w="146"/>
        <w:gridCol w:w="211"/>
        <w:gridCol w:w="676"/>
        <w:gridCol w:w="146"/>
        <w:gridCol w:w="146"/>
        <w:gridCol w:w="211"/>
        <w:gridCol w:w="781"/>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DEBT </w:t>
      </w:r>
    </w:p>
    <w:p>
      <w:pPr>
        <w:pStyle w:val="TextBody"/>
        <w:bidi w:val="0"/>
        <w:spacing w:before="120" w:after="283"/>
        <w:jc w:val="left"/>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22, 2022, the Company entered into a Credit Agreement (the “Original Credit Agreement”) with Ares Capital Corporation (“Ares”) for a senior secured loan (the “Term Loan Facility”), in an original principal amount of $175.0 million, less original issue discount of $4.4 million and deferred financing fees of $2.6 million. The Original Credit Agreement was amended on April 25, 2023 to, among other things, increase the original principal amount of the Term Loan Facility by $50.0 million, less original issue discount of $1.3 million, and was further amended on October 11, 2023 to, among other things, increase the original principal amount of the Term Loan Facility by $35.0 million, less original issue discount of $0.9 million. On February 3, 2025, the Company entered into a Third Amendment Agreement (the "Third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Additional Term Loan Facility and the Revolving Credit Facility mature on February 3, 2030. The Term Loan Facility matures in September 2027. The Term Loan Facility and the Additional Term Loan Facility (together, the Term Loan Facilities") and Revolving Credit Facility (together with the Term Loan Facilities, the “Credit Facilities”) are subject to quarterly interest payments for Base Rate loans and at the end of the applicable interest rate period for Term Secured Overnight Financing Rate (“SOFR”) loans. The Third Amendment Agreement was accounted for as a debt modification.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Term SOFR. Additionally, the Company may make either a paid-in-kind ("PIK") election or a Cash election. Pursuant to the Original Credit Agreement, as amended by the Third Amendment Agreement (the “Credit Agreement”), through December 31, 2025, interest on the Term Loans accrues at a per annum rate as follows: (i) for any interest period for which the Company elects to pay interest in cash, the cash interest rate for Base Rate and Term SOFR borrowings will be the Base Rate </w:t>
      </w:r>
      <w:r>
        <w:rPr>
          <w:rFonts w:ascii="Times New Roman" w:hAnsi="Times New Roman"/>
          <w:i/>
          <w:color w:val="000000"/>
          <w:sz w:val="20"/>
        </w:rPr>
        <w:t>plus</w:t>
      </w:r>
      <w:r>
        <w:rPr>
          <w:rFonts w:ascii="Times New Roman" w:hAnsi="Times New Roman"/>
          <w:color w:val="000000"/>
          <w:sz w:val="20"/>
        </w:rPr>
        <w:t xml:space="preserve"> 6.25% and Term SOFR </w:t>
      </w:r>
      <w:r>
        <w:rPr>
          <w:rFonts w:ascii="Times New Roman" w:hAnsi="Times New Roman"/>
          <w:i/>
          <w:color w:val="000000"/>
          <w:sz w:val="20"/>
        </w:rPr>
        <w:t>plus</w:t>
      </w:r>
      <w:r>
        <w:rPr>
          <w:rFonts w:ascii="Times New Roman" w:hAnsi="Times New Roman"/>
          <w:color w:val="000000"/>
          <w:sz w:val="20"/>
        </w:rPr>
        <w:t xml:space="preserve"> 7.25%, respectively, and (ii) for any interest period for which the Company elects to pay interest in kind, the cash interest rate for Base Rate and Term SOFR borrowings will be the Base Rate </w:t>
      </w:r>
      <w:r>
        <w:rPr>
          <w:rFonts w:ascii="Times New Roman" w:hAnsi="Times New Roman"/>
          <w:i/>
          <w:color w:val="000000"/>
          <w:sz w:val="20"/>
        </w:rPr>
        <w:t>plus</w:t>
      </w:r>
      <w:r>
        <w:rPr>
          <w:rFonts w:ascii="Times New Roman" w:hAnsi="Times New Roman"/>
          <w:color w:val="000000"/>
          <w:sz w:val="20"/>
        </w:rPr>
        <w:t xml:space="preserve"> 4% and Term SOFR </w:t>
      </w:r>
      <w:r>
        <w:rPr>
          <w:rFonts w:ascii="Times New Roman" w:hAnsi="Times New Roman"/>
          <w:i/>
          <w:color w:val="000000"/>
          <w:sz w:val="20"/>
        </w:rPr>
        <w:t>plus</w:t>
      </w:r>
      <w:r>
        <w:rPr>
          <w:rFonts w:ascii="Times New Roman" w:hAnsi="Times New Roman"/>
          <w:color w:val="000000"/>
          <w:sz w:val="20"/>
        </w:rPr>
        <w:t xml:space="preserve"> 5%, respectively, and the PIK interest rate will be 3.25%.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From and after January 1, 2026, interest on the Term Loans accrues at a per annum rate as follows: (i) for any interest period for which the Company elects to pay interest in cash, the cash interest rate for Base Rate and Term SOFR borrowings will be the Base Rate </w:t>
      </w:r>
      <w:r>
        <w:rPr>
          <w:rFonts w:ascii="Times New Roman" w:hAnsi="Times New Roman"/>
          <w:i/>
          <w:color w:val="231F20"/>
          <w:sz w:val="20"/>
        </w:rPr>
        <w:t>plus</w:t>
      </w:r>
      <w:r>
        <w:rPr>
          <w:rFonts w:ascii="Times New Roman" w:hAnsi="Times New Roman"/>
          <w:color w:val="231F20"/>
          <w:sz w:val="20"/>
        </w:rPr>
        <w:t xml:space="preserve"> a margin ranging from 5.75% to 6.75% and Term SOFR </w:t>
      </w:r>
      <w:r>
        <w:rPr>
          <w:rFonts w:ascii="Times New Roman" w:hAnsi="Times New Roman"/>
          <w:i/>
          <w:color w:val="231F20"/>
          <w:sz w:val="20"/>
        </w:rPr>
        <w:t>plus</w:t>
      </w:r>
      <w:r>
        <w:rPr>
          <w:rFonts w:ascii="Times New Roman" w:hAnsi="Times New Roman"/>
          <w:color w:val="231F20"/>
          <w:sz w:val="20"/>
        </w:rPr>
        <w:t xml:space="preserve"> a margin ranging from 6.75% to 7.75%, respectively, and (ii) for any interest period for which we elect to pay interest in kind, the cash interest rate for Base Rate and Term SOFR borrowings will be the Base Rate </w:t>
      </w:r>
      <w:r>
        <w:rPr>
          <w:rFonts w:ascii="Times New Roman" w:hAnsi="Times New Roman"/>
          <w:i/>
          <w:color w:val="231F20"/>
          <w:sz w:val="20"/>
        </w:rPr>
        <w:t>plus</w:t>
      </w:r>
      <w:r>
        <w:rPr>
          <w:rFonts w:ascii="Times New Roman" w:hAnsi="Times New Roman"/>
          <w:color w:val="231F20"/>
          <w:sz w:val="20"/>
        </w:rPr>
        <w:t xml:space="preserve"> a margin of 4% or 4.5% and Term SOFR </w:t>
      </w:r>
      <w:r>
        <w:rPr>
          <w:rFonts w:ascii="Times New Roman" w:hAnsi="Times New Roman"/>
          <w:i/>
          <w:color w:val="231F20"/>
          <w:sz w:val="20"/>
        </w:rPr>
        <w:t>plus</w:t>
      </w:r>
      <w:r>
        <w:rPr>
          <w:rFonts w:ascii="Times New Roman" w:hAnsi="Times New Roman"/>
          <w:color w:val="231F20"/>
          <w:sz w:val="20"/>
        </w:rPr>
        <w:t xml:space="preserve"> a margin of 5% or 5.5%, respectively, and the PIK interest rate will be 3.25%. The applicable margin for any interest period for which the Company elects to pay interest in cash will be based on a consolidated first lien leverage ratio and whether the Company has satisfied certain junior capital raising requirements. The applicable margin for any interest period for which the Company elects to pay interest in kind will be based on whether the Company has satisfied certain junior capital raising requirements.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the Revolving Loans accrues interest at a per annum rate equal to either, the Base Rate </w:t>
      </w:r>
      <w:r>
        <w:rPr>
          <w:rFonts w:ascii="Times New Roman" w:hAnsi="Times New Roman"/>
          <w:i/>
          <w:color w:val="000000"/>
          <w:sz w:val="20"/>
        </w:rPr>
        <w:t>plus</w:t>
      </w:r>
      <w:r>
        <w:rPr>
          <w:rFonts w:ascii="Times New Roman" w:hAnsi="Times New Roman"/>
          <w:color w:val="000000"/>
          <w:sz w:val="20"/>
        </w:rPr>
        <w:t xml:space="preserve"> 2.75% or Term SOFR </w:t>
      </w:r>
      <w:r>
        <w:rPr>
          <w:rFonts w:ascii="Times New Roman" w:hAnsi="Times New Roman"/>
          <w:i/>
          <w:color w:val="000000"/>
          <w:sz w:val="20"/>
        </w:rPr>
        <w:t>plus</w:t>
      </w:r>
      <w:r>
        <w:rPr>
          <w:rFonts w:ascii="Times New Roman" w:hAnsi="Times New Roman"/>
          <w:color w:val="000000"/>
          <w:sz w:val="20"/>
        </w:rPr>
        <w:t xml:space="preserve">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(the “Minimum Revolving Interest Amount”). A commitment fee will accrue on the unused amount of the Revolving Credit Facility at a per annum rate of 0.50%; provided, however, that no such fee shall accrue to the extent the Company is being charged the Minimum Revolving Interest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The Company was in compliance with all covenants in the Credit Agreement as of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 Credit Agreement are guaranteed by certain of its subsidiaries and secured by substantially all of the Company’s and such subsidiaries’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2025, in conjunction with the private offering (the “Offering”) of $750.0 million aggregate principal amount of 0.75% Convertible Senior Notes due 2030 (the “Notes”), the Company entered into a Fourth Amendment to the Credit Agreement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A failure to timely satisfy the junior capital raise requirement would have resulted in a 0.50% per annum increase in the applicable margin from and after January 1, 2026. Except as noted above, the material terms of the Credit Agreement were not amended. See Note 18, Subsequent Events for additional information regarding the Offering. The Fourth Amendment Agreement was accounted for as a debt modification.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original issue discount of $10.5 million and deferred financing fees of $2.6 million on the Term Loans are amortized over the term of the underlying debt and unamortized amounts have been offset against long-term debt in the consolidated balance sheets. As of June 30, 2025 and December 31, 2024, the unamortized original issue discount was $6.8 million and $3.8 million, respectively, and the unamortized deferred financing fees were $1.1 million and $1.4 million, respectively. The original issue discount of $2.0 million and deferred financing fees of $1.0 million on the Revolving Credit Facility are amortized over the term of the underlying debt and unamortized amounts are recorded in Investments and other assets in the consolidated balance sheets. As of June 30, 2025, the unamortized original issue discount and deferred financing fees on the Revolving Credit Facility was $1.8 million and $0.9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June 30, 2025, the Company has not made any principal repayments on the Credit Facilities. During the six months ended June 30, 2025, the Company made $24.0 million in interest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interest expense of $15.2 million and $27.7 million related to the Term Loans, which represented an effective interest rate of 3.2% and 5.9%, during the three and six months ended June 30, 2025, respectively. The Company recognized interest expense of $9.2 million and $18.3 million related to the Term Loan Facility, which represented an effective interest rate of 3.4% and 6.9%, during the three and six months ended June 30, 2024, respectively. The Company recognized interest expense of $2.0 million and $3.3 million related to the Revolving Credit Facility, which represented an effective interest rate of 2.0% and 3.3% during the three and six months ended June 30, 2025,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the Company amended its convertible promissory note (the "Second Amended Note") with Google LLC ("Google"), originally entered into on June 22, 2020 (the "Note"), and subsequently amended on November 19, 2020 (the "Amended Note"). The amendment extended the maturity date of the Second Amended Note from 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interest expense of $3.6 million and $3.7 million during the three months ended June 30, 2025 and 2024, respectively. The Company recognized interest expense of $7.1 million and $7.3 million during the six months ended June 30, 2025 and 2024, respectively. Accrued interest on the Second Amended Note is recorded as Interest Payable within Other long-term liabilities on the condensed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ATTRIBUTABLE TO COMMON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three and six months ended June 30, 2025 and 2024, all potentially dilutive common stock equivalents have been excluded from the calculation of diluted net loss per share attributable to common stockholders as their effect is anti-dilutive.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for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4"/>
        <w:gridCol w:w="146"/>
        <w:gridCol w:w="211"/>
        <w:gridCol w:w="781"/>
        <w:gridCol w:w="166"/>
        <w:gridCol w:w="146"/>
        <w:gridCol w:w="211"/>
        <w:gridCol w:w="841"/>
        <w:gridCol w:w="166"/>
        <w:gridCol w:w="146"/>
        <w:gridCol w:w="211"/>
        <w:gridCol w:w="841"/>
        <w:gridCol w:w="166"/>
        <w:gridCol w:w="146"/>
        <w:gridCol w:w="211"/>
        <w:gridCol w:w="841"/>
        <w:gridCol w:w="611"/>
      </w:tblGrid>
      <w:tr>
        <w:trPr/>
        <w:tc>
          <w:tcPr>
            <w:tcW w:w="4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outstanding shares of common stock equivalents were excluded from the calculation of diluted net loss per share for each period, as the impact of including them would have been anti-dilutive. As disclosed in Note 10, the Company issued a warrant for $100 million in shares of the Company’s Class A common stock. As per the terms of the warrant, potentially dilutive shares are based on the latest equity financing price. The warrant was terminated for no consideration on December 31, 2024.</w:t>
      </w:r>
    </w:p>
    <w:p>
      <w:pPr>
        <w:pStyle w:val="TextBody"/>
        <w:bidi w:val="0"/>
        <w:jc w:val="left"/>
        <w:rPr/>
      </w:pPr>
      <w:r>
        <w:rPr/>
        <w:t> </w:t>
      </w:r>
    </w:p>
    <w:tbl>
      <w:tblPr>
        <w:tblW w:w="5679" w:type="dxa"/>
        <w:jc w:val="left"/>
        <w:tblInd w:w="0" w:type="dxa"/>
        <w:tblLayout w:type="fixed"/>
        <w:tblCellMar>
          <w:top w:w="28" w:type="dxa"/>
          <w:left w:w="28" w:type="dxa"/>
          <w:bottom w:w="28" w:type="dxa"/>
          <w:right w:w="28" w:type="dxa"/>
        </w:tblCellMar>
      </w:tblPr>
      <w:tblGrid>
        <w:gridCol w:w="2896"/>
        <w:gridCol w:w="146"/>
        <w:gridCol w:w="146"/>
        <w:gridCol w:w="931"/>
        <w:gridCol w:w="146"/>
        <w:gridCol w:w="146"/>
        <w:gridCol w:w="146"/>
        <w:gridCol w:w="931"/>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Astrazeneca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 6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SEngine 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SEngine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9,671,839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disclosed in Note 12, the RSUs issued prior to the IPO include a liquidity event performance condition prior to vesting. As the liquidity event performance condition was satisfied upon completion of the IPO, as of June 30, 2025 and June 30, 2024, these shares are included in potentially dilutive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disclosed in Note 13,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will be excluded from potential dilutive impact.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2025, the Company recorded an income tax expense of $0.2 million and income tax benefit of $46.0 million, respectively. This benefit is the result of a discrete tax benefit of $46.2 million recorded from the release of a portion of the valuation allowance attributable to a preliminary estimate of $46.2 million net deferred tax liabilities recorded on Ambry's opening balance sheet which offset certain net deferred tax assets of the Company. Income tax expense for the three and six months ended June 30, 2024 was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Company’s history of losses in the United States, a full valuation allowance on all of the Company’s deferred tax assets, including net operating loss carryforwards and other book versus tax differences, was maintained.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tax rate for the six months ended June 30, 2025 differs from the statutory federal income tax rate primarily due to the discrete tax benefit recognized from the reduction of the valuation allowance as a result of the Ambry Acquisition during the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evaluate the realizability of its deferred tax assets on a quarterly basis and adjust the valuation allowance as necessary based on the weight of available evidence.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 AND MARKETABLE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valuation methodologies used for the Company’s assets and liabilities measured at fair value and their classification in the valuation hierarchy are summarized below: </w:t>
      </w:r>
    </w:p>
    <w:p>
      <w:pPr>
        <w:pStyle w:val="TextBody"/>
        <w:bidi w:val="0"/>
        <w:spacing w:before="240" w:after="283"/>
        <w:jc w:val="left"/>
        <w:rPr>
          <w:rFonts w:ascii="Times New Roman" w:hAnsi="Times New Roman"/>
          <w:sz w:val="20"/>
        </w:rPr>
      </w:pPr>
      <w:r>
        <w:rPr>
          <w:rFonts w:ascii="Times New Roman" w:hAnsi="Times New Roman"/>
          <w:i/>
          <w:color w:val="000000"/>
          <w:sz w:val="20"/>
        </w:rPr>
        <w:t>Marketable equity securities</w:t>
      </w:r>
      <w:r>
        <w:rPr>
          <w:rFonts w:ascii="Times New Roman" w:hAnsi="Times New Roman"/>
          <w:color w:val="000000"/>
          <w:sz w:val="20"/>
        </w:rPr>
        <w:t xml:space="preserve">—The Company holds marketable equity securities, all of which are publicly traded shares of common stock, which have quoted prices in active markets and are classified as short-term. The securities are measured at fair value each reporting period. The Company classifies the marketable equity securities as Level 1 as they are valued using quoted market prices at each reporting period.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Contingent consideration</w:t>
      </w:r>
      <w:r>
        <w:rPr>
          <w:rFonts w:ascii="Times New Roman" w:hAnsi="Times New Roman"/>
          <w:color w:val="000000"/>
          <w:sz w:val="20"/>
        </w:rPr>
        <w:t xml:space="preserve">—The Company is also subject to a contingent consideration arrangement of 35,000 additional shares of non-voting common stock in connection with the SEngine acquisition, the amount of which is determined based on the per share price of the Company’s non-voting common stock in a liquidity event completed prior to December 31, 2027. The contingent consideration has an acquisition fair value date of $0.8 million. See Note 4, Business Combinations for further discussion of that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 classified the contingent consideration arrangement of up to 35,000 additional shares of non-voting common stock as Level 1 as the shares are valued using a quoted market price. </w:t>
      </w:r>
    </w:p>
    <w:p>
      <w:pPr>
        <w:pStyle w:val="TextBody"/>
        <w:bidi w:val="0"/>
        <w:spacing w:before="240" w:after="283"/>
        <w:jc w:val="left"/>
        <w:rPr>
          <w:rFonts w:ascii="Times New Roman" w:hAnsi="Times New Roman"/>
          <w:sz w:val="20"/>
        </w:rPr>
      </w:pPr>
      <w:r>
        <w:rPr>
          <w:rFonts w:ascii="Times New Roman" w:hAnsi="Times New Roman"/>
          <w:i/>
          <w:color w:val="000000"/>
          <w:sz w:val="20"/>
        </w:rPr>
        <w:t>Holdback liability</w:t>
      </w:r>
      <w:r>
        <w:rPr>
          <w:rFonts w:ascii="Times New Roman" w:hAnsi="Times New Roman"/>
          <w:color w:val="000000"/>
          <w:sz w:val="20"/>
        </w:rPr>
        <w:t xml:space="preserve">—The Company held back 17,372 shares in connection with the Deep 6 acquisition. See Note 4, Business Combinations for further discussion of that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classified the holdback liability as Level 1 as the shares are valued using a quoted market price.</w:t>
      </w:r>
    </w:p>
    <w:p>
      <w:pPr>
        <w:pStyle w:val="TextBody"/>
        <w:bidi w:val="0"/>
        <w:spacing w:before="240" w:after="283"/>
        <w:jc w:val="left"/>
        <w:rPr>
          <w:rFonts w:ascii="Times New Roman" w:hAnsi="Times New Roman"/>
          <w:sz w:val="20"/>
        </w:rPr>
      </w:pPr>
      <w:r>
        <w:rPr>
          <w:rFonts w:ascii="Times New Roman" w:hAnsi="Times New Roman"/>
          <w:i/>
          <w:color w:val="000000"/>
          <w:sz w:val="20"/>
        </w:rPr>
        <w:t>Warrant liability</w:t>
      </w:r>
      <w:r>
        <w:rPr>
          <w:rFonts w:ascii="Times New Roman" w:hAnsi="Times New Roman"/>
          <w:color w:val="000000"/>
          <w:sz w:val="20"/>
        </w:rPr>
        <w:t>—As discussed in Note 10, the Company issued a $100 million warrant to AstraZeneca. The warrant liability is measured at fair value each reporting period, using a Black-Scholes option pricing model. The Company classifies the warrant liability as Level 3 due to the lack of relevant observable market data over fair value inputs such as the expected term. The warrant was terminated for no consideration on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Facilities and the Second Amended Note were not recorded at fair value. The fair values of the Credit Facilities and the Second Amended Note approximated their carrying values as of June 30, 2025 and December 31, 2024. Estimates of the fair values of the Credit Facilities and the Second Amended Note are classified as Level 3 due to the lack of relevant observable market data over fair value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assets and liabilities that are measured at fair value on a recurring basis as of June 30, 2025 and December 31, 2024 (in thousands): </w:t>
      </w:r>
    </w:p>
    <w:p>
      <w:pPr>
        <w:pStyle w:val="TextBody"/>
        <w:bidi w:val="0"/>
        <w:jc w:val="left"/>
        <w:rPr/>
      </w:pPr>
      <w:r>
        <w:rPr/>
        <w:t> </w:t>
      </w:r>
    </w:p>
    <w:tbl>
      <w:tblPr>
        <w:tblW w:w="8787" w:type="dxa"/>
        <w:jc w:val="left"/>
        <w:tblInd w:w="0" w:type="dxa"/>
        <w:tblLayout w:type="fixed"/>
        <w:tblCellMar>
          <w:top w:w="28" w:type="dxa"/>
          <w:left w:w="28" w:type="dxa"/>
          <w:bottom w:w="28" w:type="dxa"/>
          <w:right w:w="28" w:type="dxa"/>
        </w:tblCellMar>
      </w:tblPr>
      <w:tblGrid>
        <w:gridCol w:w="2631"/>
        <w:gridCol w:w="146"/>
        <w:gridCol w:w="239"/>
        <w:gridCol w:w="886"/>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162" w:type="dxa"/>
        <w:jc w:val="left"/>
        <w:tblInd w:w="0" w:type="dxa"/>
        <w:tblLayout w:type="fixed"/>
        <w:tblCellMar>
          <w:top w:w="28" w:type="dxa"/>
          <w:left w:w="28" w:type="dxa"/>
          <w:bottom w:w="28" w:type="dxa"/>
          <w:right w:w="28" w:type="dxa"/>
        </w:tblCellMar>
      </w:tblPr>
      <w:tblGrid>
        <w:gridCol w:w="2631"/>
        <w:gridCol w:w="146"/>
        <w:gridCol w:w="319"/>
        <w:gridCol w:w="1181"/>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the Company did not recognize any gain or loss due to a change in fair value for assets and liabilities measured at fair value using significant unobservable inputs (Level 3). For the three and six months ended June 30, 2024, the Company recognized a gain of $1.7 million and $0.9 million, respectively, in Other income (expense), net due to the change in fair value of the warrant liability determined by Level 3 valuation techniques. </w:t>
      </w:r>
    </w:p>
    <w:p>
      <w:pPr>
        <w:pStyle w:val="TextBody"/>
        <w:bidi w:val="0"/>
        <w:spacing w:before="360" w:after="283"/>
        <w:jc w:val="left"/>
        <w:rPr>
          <w:rFonts w:ascii="Times New Roman" w:hAnsi="Times New Roman"/>
          <w:sz w:val="20"/>
        </w:rPr>
      </w:pPr>
      <w:r>
        <w:rPr>
          <w:rFonts w:ascii="Times New Roman" w:hAnsi="Times New Roman"/>
          <w:b/>
          <w:color w:val="000000"/>
          <w:sz w:val="20"/>
        </w:rPr>
        <w:t>Marketable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marketable equity securities, which are all publicly traded shares of Recursion Pharmaceuticals, Inc. ("Recursion") Class A common stock and Personalis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Recursion shares of Class A common stock were received as payment of accounts receivable. During the three months ended June 30, 2025 and 2024, the Company did not sell any shares of Recursion Class A common stock. During the six months ended June 30, 2025, the Company sold 737,466 shares of Recursion Class A common stock at a weighted average price of $11.28 per share for aggregate proceeds of $8.3 million. During the six months ended June 30, 2024, the Company sold 1,725,902 shares of Recursion Class A common stock at a weighted average price of $13.38 for aggregate proceeds of $23.1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fair value of marketable equity securities are recorded in earnings within Other income (expense), net on the condensed consolidated statement of operations and comprehensive loss. The following summarizes the portion of unrealized gains and losses recorded during the three and six months ended June 30, 2025 and 2024 that relate to marketable equity securities held as of June 30, 2025 and 2024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9"/>
        <w:gridCol w:w="346"/>
        <w:gridCol w:w="220"/>
        <w:gridCol w:w="768"/>
        <w:gridCol w:w="173"/>
        <w:gridCol w:w="152"/>
        <w:gridCol w:w="220"/>
        <w:gridCol w:w="596"/>
        <w:gridCol w:w="346"/>
        <w:gridCol w:w="346"/>
        <w:gridCol w:w="213"/>
        <w:gridCol w:w="640"/>
        <w:gridCol w:w="168"/>
        <w:gridCol w:w="148"/>
        <w:gridCol w:w="213"/>
        <w:gridCol w:w="640"/>
        <w:gridCol w:w="417"/>
      </w:tblGrid>
      <w:tr>
        <w:trPr/>
        <w:tc>
          <w:tcPr>
            <w:tcW w:w="45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loss during the period on marketable equity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(37,812</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gain recognized during the period on marketable equity securities sold during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recognized during the period on marketable equity securities still held at the reporting date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(37,812</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2018, the Company received $1.5 million from a related party for assuming an office lease from such party. The liability is amortized through the right-of-use asset as a reduction of rent expense over the lease term. The Company had a remaining related liability of $0.5 million and $0.6 million as of June 30, 2025 and December 31, 2024, respectively. The Company subleases a portion of office space to this related party on a month-to-month basis. Sublease income received from the related party was insignificant for the three and six months ended June 30, 2025 and 2024. </w:t>
      </w:r>
    </w:p>
    <w:p>
      <w:pPr>
        <w:pStyle w:val="TextBody"/>
        <w:bidi w:val="0"/>
        <w:spacing w:before="360" w:after="283"/>
        <w:jc w:val="left"/>
        <w:rPr>
          <w:rFonts w:ascii="Times New Roman" w:hAnsi="Times New Roman"/>
          <w:sz w:val="20"/>
        </w:rPr>
      </w:pPr>
      <w:r>
        <w:rPr>
          <w:rFonts w:ascii="Times New Roman" w:hAnsi="Times New Roman"/>
          <w:i/>
          <w:color w:val="000000"/>
          <w:sz w:val="20"/>
        </w:rPr>
        <w:t>Strategic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Founder and Chief Executive Officer is a co-founder and serves as Executive Chairman of the board of Pathos AI, Inc. ("Pathos"). On August 19, 2021, the Company entered into a Master Agreement with Pathos, which was subsequently amended on February 12, 2024 (as amended, the "Amended and Restated Master Agreement"), for the purpose of furthering the commercialization efforts of drug development. In connection therewith, the Company received a warrant to purchase 23,456,790 shares, or approximately 15% of the then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Amended and Restated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17, 2025, the Company entered into an Order Form (the "Order Form") regarding both the development of a foundation large multimodal model in the field of oncology (the “Foundation Model”) and the licensing of certain de-identified multi-modal data to assist in the development of the Foundation Model, with Pathos under the Amended and Restated Master Agreement (the Amended and Restated Master Agreement and the Order Form collectively referred to herein as the “Pathos Master Agreement”). Pursuant to the Pathos Master Agreement, (i) Pathos will be responsible for Foundation Model development activities under the Statement of Work with AstraZeneca under the Master Services Agreement, dated November 17, 2021 between the Company and AstraZeneca, as amended form time to time (the Master Services Agreement and the Statement of Work are collectively referred to herein as the “MSA”), (ii) the Company will license Pathos a comprehensive de-identified multi-modal dataset for the sole purpose of assisting in the development and training of the Foundation Model under the MSA, (iii) Pathos will pay the Company data license fees of $200 million over a three-year period, including an upfront payment of $50 million paid as of April 2025, (iv) the Company will provide a secure cloud environment to host the Foundation Model, for which Pathos will pay the Company the first $60 million of cloud compute costs, (v) the Company will receive a license to use the Foundation Model upon its completion (with certain field restrictions and the right of sublicense to AstraZeneca), and (vi) in consideration of Pathos’ commitments under the Pathos Master Agreement, the Company will pay Pathos $35 million. Pathos, in its sole discretion, may pay up to 50% of the data license fees owed to the Company in shares of Pathos’ Series D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various agreements with Pathos, encompassing the development of the Foundation Model, access to the Company's Lens product, sequencing, clinical research organization and other data services. The Company has recognized $15.9 million and $0.1 million of revenue from Pathos for the three months ended June 30, 2025 and 2024, respectively. The Company has recognized $16.5 million and $0.2 million of revenue from Pathos for the six months ended June 30,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December 31, 2024, the amount due to related parties was $25.0 million and $0, respectively. As of June 30, 2025 and December 31, 2024, the amount due from related parties was $2.2 million and $4.3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related party asset and related party asset, less current portion were $2.5 million and $22.5 million, respectively. As of December 31, 2024, the related party asset and related party asset, less current portion were both $0. The related party asset represents future services to be provided by Pathos under the Pathos Master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deferred revenue and deferred revenue, less current portion includes $36.7 million and $0 million of related party deferred revenue, respectively. As of December 31, 2024, there was no related party deferred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 2025, the Company completed the Offering of $750.0 million aggregate principal amount of 0.75% Convertible Senior Notes due 2030, including the exercise in full of the initial purchasers’ over-allotment option to purchase up to an additional $100.0 million principal amount of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the Company and will mature on July 15, 2030, unless earlier converted, redeemed or repurchased. Interest on the Notes will accrue at a rate of 0.75% per year from July 3, 2025 and will be payable semiannually in arrears on January 15 and July 15 of each year, beginning on January 15, 2026. The Notes are convertible at the option of the holders at any time prior to the close of business on the business day immediately preceding April 15, 2030, only upon satisfaction of one or more of the following conditions: (1) during any calendar quarter commencing after the fiscal quarter ending on September 30,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(2) during the five business day period after any ten consecutive trading day period (the “measurement period”) in which the trading price per $1,000 principal amount of the Notes for each trading day of the measurement period was less than 98% of the product of the last reported sale price of the Class A common stock and the conversion rate for the Notes on each such trading day; (3) if the Company calls such Notes for redemption, at any time prior to the close of business on the second scheduled trading day immediately preceding the redemption date, but only with respect to the Notes called for redemption; or (4) upon the occurrence of specified corporate events. On or after April 15, 2030, until the close of business on the second scheduled trading day immediately preceding the maturity date, holders may convert all or any portion of their Notes at their option at any time, regardless of the foregoing conditions. Upon conversion, the Company will pay or deliver, as the case may be, cash, shares of Class A common stock or a combination of cash and shares of Class A common stock, at the Company’s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will initially be 11.8778 shares of Class A common stock per $1,000 principal amount of Notes, which is equivalent to an initial conversion price of approximately $84.19 per share of Class A common stock. The conversion rate for the Notes is subject to adjustment under certain circumstances. In addition, following certain corporate events that occur prior to the maturity date or if the Company delivers a notice of redemption in respect of the Notes, the Company will, in certain circumstances, increase the conversion rate of the Notes for a holder who elects to convert its Notes in connection with a corporate event or convert its Notes called for redemption during the related redemption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not redeem the Notes prior to July 20, 2028. The Company may redeem for cash all or any portion of the Notes, at its option, on or after July 20, 2028, if the last reported sale price of the Class A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If the Company redeems less than all the outstanding Notes, at least $100.0 million aggregate principal amount of Notes must be outstanding and not subject to redemption, as of, and after giving effect to, delivery of the relevant notice of redemption. No sinking fund is provided for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holders may require the Company to repurchase for cash all or any portion of their Notes at a fundamental change repurchase price equal to 100% of the principal amount of the Notes to be repurchased, plus accrued and unpaid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in connection with the exercise in full by the initial purchasers of their over-allotment option to purchase additional Notes on July 1, 2025, the Company entered into capped call transactions (the "Capped Call"), effective as of July 3, 2025, with one of the initial purchasers and certain other financial institutions. The Capped Call is expected generally to reduce the potential dilution to the Class A common stock upon any conversion of the Notes and/or offset any cash payments the Company is required to make in excess of the principal amount of converted Notes, with such reduction and/or offset subject to a cap based on a cap price initially equal to $111.1950 per share and is subject to certain adjustments.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net proceeds from the Offering were approximately $725.9 million, after deducting the initial purchasers’ discounts and commissions and the estimated offering expenses payable by the Company. The Company used a portion of the net proceeds from the Offering to repay $293.5 million of the Term Loan Facilities, which includes repayment of the principal, accrued interest, and prepayment premium. The repayment results in a loss on debt extinguishment of approximately $18.5 million. Additionally, the Company paid approximately $41.8 million cost of the Capped Call. The Company expects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 2025 (the "Commencement Date"), the Company entered into a lease agreement for office space located in New York, New York. The term of the lease agreement is for 120 months, with rent payments commencing on November 1, 2026 (the "Rent Commencement Date") and ending on October 31, 2036. The Company expects total rent payments to equal approximately $35.0 million over the lease term.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One Big Beautiful Bill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(the “Act”) was enacted into law in the U.S. The Act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condensed consolidated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the Company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(the “Sales Agreement”) with Morgan Stanley &amp; Co., LLC, Cantor Fitzgerald &amp; Co., TD Securities (USA), LLC and Allen &amp; Company LLC, as sales agents (collectively, the “Sales Agents”), pursuant to which the Company may offer and sell from time to time, at its option, shares of Class A common stock through the Sales Agents. The issuance and sale, if any, of shares of Class A Common Stock under the Sales Agreement will be made pursuant to an automatically effective registration statement on Form S-3 and the related prospectus included therein (the “ATM Prospectus”), in each case to be filed with the Securities and Exchange Commission. In accordance with the terms of the Sales Agreement, under the ATM Prospectus, the Company may offer and sell shares of Class A common stock having an aggregate offering price of up to $500.0 million from time to time through the Sales Agents.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Grants of Performance-Based Restricted Stock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2025, the Compensation Committee of the Company’s board of directors approved grants of 2,569,600 PSUs under the 2024 Plan. The PSUs can be earned based on the satisfaction of certain performance-based vesting conditions during three overlapping performance periods—calendar year 2025, calendar years 2025 and 2026, and calendar years 2025, 2026 and 2027—and service-based vesting conditions following each of the performance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 looking statements contained in this Quarterly Report on Form 10-Q include, but are not limited to, statements concerning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evolving treatment paradigm for cancer, including physicians’ use of molecular data and targeted oncology therapeutics and the market size for our current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business beyond oncology into new disease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addressable market and our expectations regarding our revenue, expenses, capital requirements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new products and services, including our goals and strategy regarding development and commercialization of AI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grow our datasets, including in new disease areas and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the growth of our datasets will improve the quality of our products and services and accelerate their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capture, aggregate, analyze or otherwise utilize genomic data in new ways and in additional diagnostic modalities;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we will continue to commercialize de-identified records and license them to multiple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of our publications in peer-reviewed journals or of our presentations at scientific and medical conference presentations;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products, technologies and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competitive companies and technologies and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of Intelligent Diagnostics to be disruptive across a broad set of disease areas and the clinical trial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and grow our business by expanding our sales to existing customers or introducing our products to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new and potential tariffs, on us and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payer reimbursement and coverage decisions, including our strategy to increase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intellectual property protection for our products or avoid claims of infringement;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effects of evolving and/or extensive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internationally, including through our joint venture, SB Tempus, in Japan;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acquire businesses, form joint ventures or make investments in companies or technologies, including our ability to realize the expected benefits of our acquisitions of Ambry Genetics Corporation and Deep 6 AI,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protect and enforce our intellectual property rights, including our trade secret protected proprietary rights in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service or pay down existing or future debt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pending or threatened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cash needs and our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mda"/>
      <w:bookmarkEnd w:id="9"/>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year ended December 31, 2024 .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and in our Annual Report on Form 10-K for the year ended December 31, 2024 for a discussion of forward- looking statements and important factors that could cause actual results to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operate in the United States and generated total revenue of $314.6 million and $166.0 million in the three months ended June 30, 2025 and 2024, respectively, and $570.4 million and $311.8 million in the six months ended June 30, 2025 and 2024, respectively. We also incurred net losses of $42.8 million and $552.2 million in the three months ended June 30, 2025 and 2024, respectively, and $110.9 million and $617.0 million in the six months ended June 30, 2025 and 2024, respectively. We generated adjusted EBITDA of $(5.6) million and $(31.2) million in the three months ended June 30, 2025 and 2024, respectively, and $(21.8) million and $(75.1) million in the six months ended June 30, 2025 and 2024, respectively. Adjusted EBITDA is a non-GAAP financial measure. For a reconciliation of adjusted EBITDA to net loss, the most directly comparable financial measure stated in accordance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generally accepted accounting principles in the United States of America, or GAAP, and for additional information about adjusted EBITDA, a non-GAAP financial measure, see "—Non-GAAP Financial Measure."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3, 2025, we completed a private offering, or the Offering, of $750.0 million aggregate principal amount of 0.75% Convertible Senior Notes due 2030, or the Notes, including the exercise in full of the initial purchasers’ over-allotment option to purchase up to an additional $100.0 million principal amount of the Notes. The Notes are our general unsecured obligations and will mature on July 15, 2030, unless earlier converted, redeemed or repurchased. Interest on the Notes will accrue at a rate of 0.75% per year from July 3, 2025 and will be payable semiannually in arrears on January 15 and July 15 of each year, beginning on January 15, 2026. Refer to Note 18 to our unaudited condensed consolidated financial statements included elsewhere in this Quarterly Report on Form 10-Q for further information regarding the issuance and terms of the Notes and the Capped Call transaction (as defined in “—Liquidity and Capital Resources—Senior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proceeds from the Offering were approximately $725.9 million, after deducting the initial purchasers’ discounts and commissions and the estimated offering expenses payable by us. We used a portion of the net proceeds from the Offering to repay $293.5 million of the Term Loan Facilities (as defined in “—Liquidity and Capital Resources—Credit Facilities”), which includes repayment of the principal, accrued interest, and prepayment premium and to pay approximately $41.8 million cost of the Capped Call.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 of Ambry Genetics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3, 2025, or the Closing Date, we completed our acquisition, or the Ambry Acquisition, of Ambry Genetics Corporation, a Delaware corporation, or Ambry, pursuant to a Securities Purchase Agreement, or the Purchase Agreement, entered into on November 4, 2024 with REALM IDx, Inc., a Delaware corporation, or the Seller, and the Seller’s ultimate parent, Konica Minolta, Inc., a Japanese corporation, as guarantor. We acquired all of the issued and outstanding shares of capital stock of Ambry.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The Stock Consideration was valued at $61.54 per share, which was the closing price of our Class A common stock on the Closing Date. Pursuant to the terms of the Purchase Agreement, 2,152,505 shares issued as Stock Consideration are subject to a lock-up for a period of one year following the Closing Date. In addition, $5.0 million of the Cash Consideration are held in an escrow account for purposes of satisfying any post-closing purchase price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closing of the acquisition, we entered into an amendment to the Credit Agreement (as defined in “—Liquidity and Capital Resources—Credit Facilities”), providing for an additional $200.0 million in senior secured term loans, or the Additional Term Loan Facility, and $100.0 million in senior secured revolving loan commitments, or the Revolving Credit Facility. We utilized borrowings under the Additional Term Loan Facility and the Revolving Credit Facility to fund the Cash Consideration for the acquisition and to pay fees and expenses related thereto.</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and Pathos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as of April 2025 (iv) we will receive a license to use the Foundation Model upon its completion (with certain field restrictions and the right of sublicense to AstraZeneca), and (v) in consideration of Pathos’ commitments under the Pathos Master Agreement, we will pay Pathos $35 million. Pathos, in its sole discretion, may pay up to 50% of the data license fees owed to us in shares of Pathos’ Series D Preferred Stock.</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pStyle w:val="TextBody"/>
        <w:bidi w:val="0"/>
        <w:spacing w:before="360" w:after="283"/>
        <w:jc w:val="left"/>
        <w:rPr>
          <w:rFonts w:ascii="Times New Roman" w:hAnsi="Times New Roman"/>
          <w:sz w:val="20"/>
        </w:rPr>
      </w:pPr>
      <w:r>
        <w:rPr>
          <w:rFonts w:ascii="Times New Roman" w:hAnsi="Times New Roman"/>
          <w:i/>
          <w:color w:val="000000"/>
          <w:sz w:val="20"/>
        </w:rPr>
        <w:t>GlaxoSmithKline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 </w:t>
      </w:r>
    </w:p>
    <w:p>
      <w:pPr>
        <w:pStyle w:val="TextBody"/>
        <w:bidi w:val="0"/>
        <w:spacing w:before="360" w:after="283"/>
        <w:jc w:val="left"/>
        <w:rPr>
          <w:rFonts w:ascii="Times New Roman" w:hAnsi="Times New Roman"/>
          <w:sz w:val="20"/>
        </w:rPr>
      </w:pPr>
      <w:r>
        <w:rPr>
          <w:rFonts w:ascii="Times New Roman" w:hAnsi="Times New Roman"/>
          <w:i/>
          <w:color w:val="000000"/>
          <w:sz w:val="20"/>
        </w:rPr>
        <w:t>Recursion Master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and New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maintain high levels of investment in product innovation over the coming years as we continue to develop new laboratory assays, develop algorithms, and expand our Platform into new disease areas. These investments will include laboratory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in validating new or improving current assays, licensing of data sets to accelerate our efforts in new diseases, and development and validation costs for new Algos products. We invested $41.6 million and $68.1 million during the three months ended June 30, 2025 and 2024, respectively, and $77.5 million and $92.4 million during the six months ended June 30, 2025 and 2024 respectively, in research and development. Our ability to develop new products, obtain regulatory approvals when required, launch them into the market, and drive adoption of these products by our customers will continue to play a key role in our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grow our business requires both identifying new customers and expanding our partnerships with existing ones across each of our product lines. For Genomics, this entails our field salesforce developing relationships with individual physicians, genetic counselors,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8,000 physicians and we have worked with over 200 biotech companies, as well as 19 of the 20 largest public pharmaceutical companies based on 2024 revenue, albeit with many we are still at an early stage of adoption. Our financial performance relies heavily on our ability to add customers to our Platform and expand the relationships with our current customers through adoption of our new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$34.5 million and $77.9 million during the three months ended June 30, 2025 and 2024, respectively, and $67.9 million and $105.0 million, in the six months ended June 30, 2025 and 2024,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In addition, the announcement of substantial new tariffs and other restrictive trade policies, to the extent such current and future tariffs apply to hardware, networking infrastructure or other technology infrastructure used by us or our third-party vendors, could raise costs, constrain supply or affect service reliability.</w:t>
      </w:r>
    </w:p>
    <w:p>
      <w:pPr>
        <w:pStyle w:val="TextBody"/>
        <w:bidi w:val="0"/>
        <w:spacing w:before="360" w:after="283"/>
        <w:jc w:val="left"/>
        <w:rPr>
          <w:rFonts w:ascii="Times New Roman" w:hAnsi="Times New Roman"/>
          <w:sz w:val="20"/>
        </w:rPr>
      </w:pPr>
      <w:r>
        <w:rPr>
          <w:rFonts w:ascii="Times New Roman" w:hAnsi="Times New Roman"/>
          <w:b/>
          <w:i/>
          <w:color w:val="000000"/>
          <w:sz w:val="20"/>
        </w:rPr>
        <w:t>Payer 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2024, we had received payment on approximately 55% of our clinical oncology NGS tests across all payers performed from January 1, 2022 through December 31, 2023. We calculated this metric on a trailing basis based on payer adjudication timing. However, we continued to perform our NGS tests through December 31, 2024. For the years ended December 31, 2024 and 2023, our average reimbursement for NGS tests in oncology was approximately $1,510 and $1,450,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such as substantial new tariffs and other restrictive trade policies.</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primarily derive our revenue from two product lines: (1) Genomics and (2) Data and services. </w:t>
      </w:r>
    </w:p>
    <w:p>
      <w:pPr>
        <w:pStyle w:val="TextBody"/>
        <w:bidi w:val="0"/>
        <w:spacing w:before="360" w:after="283"/>
        <w:jc w:val="left"/>
        <w:rPr>
          <w:rFonts w:ascii="Times New Roman" w:hAnsi="Times New Roman"/>
          <w:sz w:val="20"/>
        </w:rPr>
      </w:pPr>
      <w:r>
        <w:rPr>
          <w:rFonts w:ascii="Times New Roman" w:hAnsi="Times New Roman"/>
          <w:i/>
          <w:color w:val="000000"/>
          <w:sz w:val="20"/>
        </w:rPr>
        <w:t>Genomics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Genomics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revenue from inherited cancer risk, whole exome and genome profiling for rare conditions, and all other inherited screening testing primarily to genetic counselors. </w:t>
      </w:r>
    </w:p>
    <w:p>
      <w:pPr>
        <w:pStyle w:val="TextBody"/>
        <w:bidi w:val="0"/>
        <w:spacing w:before="360" w:after="283"/>
        <w:jc w:val="left"/>
        <w:rPr>
          <w:rFonts w:ascii="Times New Roman" w:hAnsi="Times New Roman"/>
          <w:sz w:val="20"/>
        </w:rPr>
      </w:pPr>
      <w:r>
        <w:rPr>
          <w:rFonts w:ascii="Times New Roman" w:hAnsi="Times New Roman"/>
          <w:i/>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Genomics revenue continues to grow.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selling, general and administrative expenses will continue to increase in absolute dollars after our IPO,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and cash equivalents.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primarily of interest from our Second Amended Note and Credit Facilities (each as defined in “—Liquidity and Capital Resources”). Interest expense related to our Second Amended Note will continue, but should decrease over time as the principal amount decreases.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income (expense), net </w:t>
      </w:r>
      <w:r>
        <w:rPr>
          <w:rFonts w:ascii="Times New Roman" w:hAnsi="Times New Roman"/>
          <w:color w:val="231F20"/>
          <w:sz w:val="20"/>
        </w:rPr>
        <w:t>consists of foreign currency exchange gains and losses, gains and losses on marketable equity securities, income from the Intellectual Property Agreement, or the IP License Agreement,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which was exercised in August 2024. The fair value of the warrant assets and liabilities are measured each reporting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from equity method investments consist of earnings from our joint venture, SB Tempus. See Note 7 to our unaudited condensed consolidated financial statements included elsewhere in this Quarterly Report on Form 10-Q for additional information regarding SB Tempus.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significant components of our results of operations for the periods presented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4"/>
        <w:gridCol w:w="146"/>
        <w:gridCol w:w="211"/>
        <w:gridCol w:w="781"/>
        <w:gridCol w:w="166"/>
        <w:gridCol w:w="146"/>
        <w:gridCol w:w="211"/>
        <w:gridCol w:w="841"/>
        <w:gridCol w:w="166"/>
        <w:gridCol w:w="146"/>
        <w:gridCol w:w="211"/>
        <w:gridCol w:w="841"/>
        <w:gridCol w:w="166"/>
        <w:gridCol w:w="146"/>
        <w:gridCol w:w="211"/>
        <w:gridCol w:w="841"/>
        <w:gridCol w:w="591"/>
      </w:tblGrid>
      <w:tr>
        <w:trPr/>
        <w:tc>
          <w:tcPr>
            <w:tcW w:w="4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311,789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Three Months Ended June 30, 2025 and 2024</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6836" w:type="dxa"/>
        <w:jc w:val="left"/>
        <w:tblInd w:w="0" w:type="dxa"/>
        <w:tblLayout w:type="fixed"/>
        <w:tblCellMar>
          <w:top w:w="28" w:type="dxa"/>
          <w:left w:w="28" w:type="dxa"/>
          <w:bottom w:w="28" w:type="dxa"/>
          <w:right w:w="28" w:type="dxa"/>
        </w:tblCellMar>
      </w:tblPr>
      <w:tblGrid>
        <w:gridCol w:w="1651"/>
        <w:gridCol w:w="146"/>
        <w:gridCol w:w="211"/>
        <w:gridCol w:w="781"/>
        <w:gridCol w:w="146"/>
        <w:gridCol w:w="146"/>
        <w:gridCol w:w="211"/>
        <w:gridCol w:w="781"/>
        <w:gridCol w:w="146"/>
        <w:gridCol w:w="146"/>
        <w:gridCol w:w="211"/>
        <w:gridCol w:w="781"/>
        <w:gridCol w:w="146"/>
        <w:gridCol w:w="146"/>
        <w:gridCol w:w="224"/>
        <w:gridCol w:w="647"/>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revenue for the three months ended June 30, 2025, compared to the same period in 2024, was due to increased volume of tests performed in Genomics and increased data deliveries in our Data and Services product line. </w:t>
      </w:r>
    </w:p>
    <w:p>
      <w:pPr>
        <w:pStyle w:val="TextBody"/>
        <w:bidi w:val="0"/>
        <w:spacing w:before="360" w:after="283"/>
        <w:jc w:val="left"/>
        <w:rPr>
          <w:rFonts w:ascii="Times New Roman" w:hAnsi="Times New Roman"/>
          <w:sz w:val="20"/>
        </w:rPr>
      </w:pPr>
      <w:r>
        <w:rPr>
          <w:rFonts w:ascii="Times New Roman" w:hAnsi="Times New Roman"/>
          <w:i/>
          <w:color w:val="000000"/>
          <w:sz w:val="20"/>
        </w:rPr>
        <w:t>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Genomics revenue for the three months ended June 30, 2025, compared to the same period in 2024, was primarily due to an increase in the number of Oncology tests and the addition of Hereditary tests through the acquisition of Ambry. Volume of tests increased from approximately 66,500 tests for the three months ended June 30, 2024 to approximately 212,000 tests for the three months ended June 30, 2025, of which 128,000 tests related to Hereditary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Oncology tests increased from approximately 66,500 tests for the three months ended June 30, 2024 to approximately 84,000 tests for the three months ended June 30, 2025. Additionally, there was an increase in average revenue per Oncology test, which increased from approximately $1,500 for the three months ended June 30, 2024 to approximately $1,580 for the three months ended June 30, 2025. The increase in average revenue per Oncology test was driven primarily by increased Medicare reimbursement rates. The increase in the number of Oncology tests and average revenue per Oncology test resulted in a $33.0 million increase in Genomics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Hereditary tests increased to approximately 128,000 tests for the three months ended June 30, 2025 due to the acquisition of Ambry in February 2025 and resulted in an increase of $97.3 million in Genomics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Data and services revenue for the three months ended June 30, 2025, compared to the same period in 2024, was driven primarily by $16.5 million from increased demand for our Insights products. Across all Data and services products, the increase in revenue in the three months ended June 30, 2025 is primarily attributable to continued growth from within our existing customer base, specifically the Pathos Foundation Model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029" w:type="dxa"/>
        <w:jc w:val="left"/>
        <w:tblInd w:w="0" w:type="dxa"/>
        <w:tblLayout w:type="fixed"/>
        <w:tblCellMar>
          <w:top w:w="28" w:type="dxa"/>
          <w:left w:w="28" w:type="dxa"/>
          <w:bottom w:w="28" w:type="dxa"/>
          <w:right w:w="28" w:type="dxa"/>
        </w:tblCellMar>
      </w:tblPr>
      <w:tblGrid>
        <w:gridCol w:w="2941"/>
        <w:gridCol w:w="146"/>
        <w:gridCol w:w="220"/>
        <w:gridCol w:w="815"/>
        <w:gridCol w:w="152"/>
        <w:gridCol w:w="152"/>
        <w:gridCol w:w="220"/>
        <w:gridCol w:w="705"/>
        <w:gridCol w:w="146"/>
        <w:gridCol w:w="146"/>
        <w:gridCol w:w="211"/>
        <w:gridCol w:w="676"/>
        <w:gridCol w:w="166"/>
        <w:gridCol w:w="146"/>
        <w:gridCol w:w="243"/>
        <w:gridCol w:w="628"/>
        <w:gridCol w:w="3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Cost of revenues for the three months ended June 30, 2025, compared to the same period in 2024, was primarily due to increases of $34.3 million in material and service costs, of which $21.9 million in material and services is due to the Ambry Acquisition, and $8.0 million in personnel-related costs from the Ambry Acquisition, offset by a decrease of $16.4 million of stock-based compensation expenses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Genomics for the three months ended June 30, 2025, compared to the same period in 2024, was primarily due to increases of $34.3 million in material and service costs, of which $21.9 million in material and services is due to the Ambry Acquisition, and $8.0 million in personnel-related costs from the Ambry Acquisition, offset by a decrease of $9.9 million of stock-based compensation expense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Cost of revenues, Data and services for the three months ended June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419" w:type="dxa"/>
        <w:jc w:val="left"/>
        <w:tblInd w:w="0" w:type="dxa"/>
        <w:tblLayout w:type="fixed"/>
        <w:tblCellMar>
          <w:top w:w="28" w:type="dxa"/>
          <w:left w:w="28" w:type="dxa"/>
          <w:bottom w:w="28" w:type="dxa"/>
          <w:right w:w="28" w:type="dxa"/>
        </w:tblCellMar>
      </w:tblPr>
      <w:tblGrid>
        <w:gridCol w:w="3271"/>
        <w:gridCol w:w="146"/>
        <w:gridCol w:w="231"/>
        <w:gridCol w:w="741"/>
        <w:gridCol w:w="160"/>
        <w:gridCol w:w="160"/>
        <w:gridCol w:w="231"/>
        <w:gridCol w:w="741"/>
        <w:gridCol w:w="146"/>
        <w:gridCol w:w="146"/>
        <w:gridCol w:w="211"/>
        <w:gridCol w:w="736"/>
        <w:gridCol w:w="166"/>
        <w:gridCol w:w="146"/>
        <w:gridCol w:w="243"/>
        <w:gridCol w:w="628"/>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decrease in Technology research and development expenses for the three months ended June 30, 2025, compared to the same period in 2024, was primarily due to a decrease of $47.1 million of stock-based compensation expense related to RSUs for which the performance-based vesting condition was satisfied in connection with our IPO in the prior period, offset by an increase of $4.5 million in personnel-related costs associated with the investment in our cloud infrastructure and new lines of business, of which $3.4 million is due to the Ambry Acquisition.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jc w:val="left"/>
        <w:rPr/>
      </w:pPr>
      <w:r>
        <w:rPr/>
        <w:t> </w:t>
      </w:r>
    </w:p>
    <w:tbl>
      <w:tblPr>
        <w:tblW w:w="7459" w:type="dxa"/>
        <w:jc w:val="left"/>
        <w:tblInd w:w="0" w:type="dxa"/>
        <w:tblLayout w:type="fixed"/>
        <w:tblCellMar>
          <w:top w:w="28" w:type="dxa"/>
          <w:left w:w="28" w:type="dxa"/>
          <w:bottom w:w="28" w:type="dxa"/>
          <w:right w:w="28" w:type="dxa"/>
        </w:tblCellMar>
      </w:tblPr>
      <w:tblGrid>
        <w:gridCol w:w="2311"/>
        <w:gridCol w:w="146"/>
        <w:gridCol w:w="231"/>
        <w:gridCol w:w="741"/>
        <w:gridCol w:w="160"/>
        <w:gridCol w:w="160"/>
        <w:gridCol w:w="231"/>
        <w:gridCol w:w="741"/>
        <w:gridCol w:w="146"/>
        <w:gridCol w:w="146"/>
        <w:gridCol w:w="211"/>
        <w:gridCol w:w="736"/>
        <w:gridCol w:w="166"/>
        <w:gridCol w:w="146"/>
        <w:gridCol w:w="243"/>
        <w:gridCol w:w="628"/>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Research and development expenses for the three months ended June 30, 2025, compared to the same period in 2024, was primarily due to a decrease of $39.9 million of stock-based compensation expense related to RSUs for which the performance-based vesting condition was satisfied in connection with our IPO in the prior period, offset by an increase of $10.3 million in personnel-related costs for employees in our research and development group, of which $8.0 million is due to the Ambry Acquisition.</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221"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146"/>
        <w:gridCol w:w="146"/>
        <w:gridCol w:w="211"/>
        <w:gridCol w:w="841"/>
        <w:gridCol w:w="166"/>
        <w:gridCol w:w="146"/>
        <w:gridCol w:w="243"/>
        <w:gridCol w:w="628"/>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Selling, general and administrative expenses for the three months ended June 30, 2025, compared to the same period in 2024, was primarily due to a decrease of $362.4 million of stock-based compensation expense related to RSUs for which the performance-based vesting condition was satisfied in connection with our IPO in the prior period, offset by an increase $30.7 million in personnel-related costs, of which $19.7 million is due to the Ambry Acquisition, $16.8 million in amortization of intangibles acquired from the Ambry Acquisition, $6.3 million in software and tools costs, of which $3.6 million is due to the Ambry Acquisition, $3.0 million in cloud storage costs, $2.6 million in legal costs, and $2.0 million in acquisition costs.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363" w:type="dxa"/>
        <w:jc w:val="left"/>
        <w:tblInd w:w="0" w:type="dxa"/>
        <w:tblLayout w:type="fixed"/>
        <w:tblCellMar>
          <w:top w:w="28" w:type="dxa"/>
          <w:left w:w="28" w:type="dxa"/>
          <w:bottom w:w="28" w:type="dxa"/>
          <w:right w:w="28" w:type="dxa"/>
        </w:tblCellMar>
      </w:tblPr>
      <w:tblGrid>
        <w:gridCol w:w="1366"/>
        <w:gridCol w:w="146"/>
        <w:gridCol w:w="257"/>
        <w:gridCol w:w="697"/>
        <w:gridCol w:w="178"/>
        <w:gridCol w:w="178"/>
        <w:gridCol w:w="257"/>
        <w:gridCol w:w="697"/>
        <w:gridCol w:w="146"/>
        <w:gridCol w:w="146"/>
        <w:gridCol w:w="242"/>
        <w:gridCol w:w="554"/>
        <w:gridCol w:w="166"/>
        <w:gridCol w:w="146"/>
        <w:gridCol w:w="243"/>
        <w:gridCol w:w="628"/>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Interest income for the three months ended June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488" w:type="dxa"/>
        <w:jc w:val="left"/>
        <w:tblInd w:w="0" w:type="dxa"/>
        <w:tblLayout w:type="fixed"/>
        <w:tblCellMar>
          <w:top w:w="28" w:type="dxa"/>
          <w:left w:w="28" w:type="dxa"/>
          <w:bottom w:w="28" w:type="dxa"/>
          <w:right w:w="28" w:type="dxa"/>
        </w:tblCellMar>
      </w:tblPr>
      <w:tblGrid>
        <w:gridCol w:w="1426"/>
        <w:gridCol w:w="146"/>
        <w:gridCol w:w="216"/>
        <w:gridCol w:w="756"/>
        <w:gridCol w:w="170"/>
        <w:gridCol w:w="149"/>
        <w:gridCol w:w="216"/>
        <w:gridCol w:w="756"/>
        <w:gridCol w:w="166"/>
        <w:gridCol w:w="146"/>
        <w:gridCol w:w="211"/>
        <w:gridCol w:w="631"/>
        <w:gridCol w:w="166"/>
        <w:gridCol w:w="146"/>
        <w:gridCol w:w="275"/>
        <w:gridCol w:w="596"/>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expense for the three months ended June 30, 2025, compared to the same period in 2024, was primarily driven by compounding interest on our Second Amended Note and the additional interest expense from the Additional Term Loan Facility and Revolving Credit Facility.</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2386"/>
        <w:gridCol w:w="146"/>
        <w:gridCol w:w="236"/>
        <w:gridCol w:w="757"/>
        <w:gridCol w:w="163"/>
        <w:gridCol w:w="163"/>
        <w:gridCol w:w="236"/>
        <w:gridCol w:w="707"/>
        <w:gridCol w:w="166"/>
        <w:gridCol w:w="146"/>
        <w:gridCol w:w="211"/>
        <w:gridCol w:w="676"/>
        <w:gridCol w:w="146"/>
        <w:gridCol w:w="146"/>
        <w:gridCol w:w="202"/>
        <w:gridCol w:w="669"/>
        <w:gridCol w:w="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income (expense), net for the three months ended June 30, 2025, compared to the same period in 2024, was primarily driven by a $41.5 million increase in income related to unrealized gains on marketable equity securities, a $5.2 million increase in income due to the change in fair value of our warrant asset, and an increase of $4.0 million in income from the Intellectual Property Agreement, or the IP License Agreement, with SB Tempus, offset by a $1.7 million decrease in income due to the change in fair value of our warrant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pPr>
      <w:r>
        <w:rPr/>
        <w:t> </w:t>
      </w:r>
    </w:p>
    <w:tbl>
      <w:tblPr>
        <w:tblW w:w="8452" w:type="dxa"/>
        <w:jc w:val="left"/>
        <w:tblInd w:w="0" w:type="dxa"/>
        <w:tblLayout w:type="fixed"/>
        <w:tblCellMar>
          <w:top w:w="28" w:type="dxa"/>
          <w:left w:w="28" w:type="dxa"/>
          <w:bottom w:w="28" w:type="dxa"/>
          <w:right w:w="28" w:type="dxa"/>
        </w:tblCellMar>
      </w:tblPr>
      <w:tblGrid>
        <w:gridCol w:w="3436"/>
        <w:gridCol w:w="146"/>
        <w:gridCol w:w="300"/>
        <w:gridCol w:w="685"/>
        <w:gridCol w:w="236"/>
        <w:gridCol w:w="207"/>
        <w:gridCol w:w="300"/>
        <w:gridCol w:w="535"/>
        <w:gridCol w:w="166"/>
        <w:gridCol w:w="146"/>
        <w:gridCol w:w="242"/>
        <w:gridCol w:w="554"/>
        <w:gridCol w:w="166"/>
        <w:gridCol w:w="146"/>
        <w:gridCol w:w="224"/>
        <w:gridCol w:w="647"/>
        <w:gridCol w:w="3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provision for income tax benefit (expense) for the three months ended June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jc w:val="left"/>
        <w:rPr/>
      </w:pPr>
      <w:r>
        <w:rPr/>
        <w:t> </w:t>
      </w:r>
    </w:p>
    <w:tbl>
      <w:tblPr>
        <w:tblW w:w="8373" w:type="dxa"/>
        <w:jc w:val="left"/>
        <w:tblInd w:w="0" w:type="dxa"/>
        <w:tblLayout w:type="fixed"/>
        <w:tblCellMar>
          <w:top w:w="28" w:type="dxa"/>
          <w:left w:w="28" w:type="dxa"/>
          <w:bottom w:w="28" w:type="dxa"/>
          <w:right w:w="28" w:type="dxa"/>
        </w:tblCellMar>
      </w:tblPr>
      <w:tblGrid>
        <w:gridCol w:w="3331"/>
        <w:gridCol w:w="146"/>
        <w:gridCol w:w="279"/>
        <w:gridCol w:w="835"/>
        <w:gridCol w:w="219"/>
        <w:gridCol w:w="193"/>
        <w:gridCol w:w="279"/>
        <w:gridCol w:w="458"/>
        <w:gridCol w:w="146"/>
        <w:gridCol w:w="146"/>
        <w:gridCol w:w="211"/>
        <w:gridCol w:w="631"/>
        <w:gridCol w:w="166"/>
        <w:gridCol w:w="146"/>
        <w:gridCol w:w="224"/>
        <w:gridCol w:w="647"/>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losses from equity method investments for the three months ended June 30, 2025, compared to the same period in 2024, was due to the losses from SB Tempus.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Comparison of the Six Months Ended June 30, 2025 and 2024</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6836" w:type="dxa"/>
        <w:jc w:val="left"/>
        <w:tblInd w:w="0" w:type="dxa"/>
        <w:tblLayout w:type="fixed"/>
        <w:tblCellMar>
          <w:top w:w="28" w:type="dxa"/>
          <w:left w:w="28" w:type="dxa"/>
          <w:bottom w:w="28" w:type="dxa"/>
          <w:right w:w="28" w:type="dxa"/>
        </w:tblCellMar>
      </w:tblPr>
      <w:tblGrid>
        <w:gridCol w:w="1651"/>
        <w:gridCol w:w="146"/>
        <w:gridCol w:w="211"/>
        <w:gridCol w:w="781"/>
        <w:gridCol w:w="146"/>
        <w:gridCol w:w="146"/>
        <w:gridCol w:w="211"/>
        <w:gridCol w:w="781"/>
        <w:gridCol w:w="146"/>
        <w:gridCol w:w="146"/>
        <w:gridCol w:w="211"/>
        <w:gridCol w:w="781"/>
        <w:gridCol w:w="146"/>
        <w:gridCol w:w="146"/>
        <w:gridCol w:w="224"/>
        <w:gridCol w:w="647"/>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revenue for the six months ended June 30, 2025, compared to the same period in 2024, was due to increased volume and reimbursement of clinical oncology tests performed in Genomics and increased data deliveries in our Data and Services product line. </w:t>
      </w:r>
    </w:p>
    <w:p>
      <w:pPr>
        <w:pStyle w:val="TextBody"/>
        <w:bidi w:val="0"/>
        <w:spacing w:before="360" w:after="283"/>
        <w:jc w:val="left"/>
        <w:rPr>
          <w:rFonts w:ascii="Times New Roman" w:hAnsi="Times New Roman"/>
          <w:sz w:val="20"/>
        </w:rPr>
      </w:pPr>
      <w:r>
        <w:rPr>
          <w:rFonts w:ascii="Times New Roman" w:hAnsi="Times New Roman"/>
          <w:i/>
          <w:color w:val="000000"/>
          <w:sz w:val="20"/>
        </w:rPr>
        <w:t>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Genomics revenue for the six months ended June 30, 2025, compared to the same period in 2024, was primarily due to an increase in the number of Oncology tests and the addition of Hereditary tests through the acquisition of Ambry. Volume of tests increased from approximately 129,200 tests for the six months ended June 30, 2024 to approximately 365,000 tests for the six months ended June 30, 2025, of which 206,000 tests related to Hereditary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Oncology tests increased from approximately 129,200 tests for the six months ended June 30, 2024 to approximately 159,000 tests for the six months ended June 30, 2025. Additionally, there was an increase in average revenue per Oncology test, which increased from approximately $1,480 for the six months ended June 30, 2024 to approximately $1,590 for the six months ended June 30, 2025. The increase in average revenue per Oncology test was driven primarily by increased Medicare reimbursement rates. The increase in the number of Oncology tests and average revenue per Oncology test resulted in a $61.6 million increase in Genomics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Hereditary tests increased to approximately 206,000 tests for the six months ended June 30, 2025 due to the acquisition of Ambry in February 2025 and resulted in an increase of $160.8 million in Genomics revenue.</w:t>
      </w:r>
    </w:p>
    <w:p>
      <w:pPr>
        <w:pStyle w:val="TextBody"/>
        <w:bidi w:val="0"/>
        <w:spacing w:before="360" w:after="283"/>
        <w:jc w:val="left"/>
        <w:rPr>
          <w:rFonts w:ascii="Times New Roman" w:hAnsi="Times New Roman"/>
          <w:sz w:val="20"/>
        </w:rPr>
      </w:pPr>
      <w:r>
        <w:rPr>
          <w:rFonts w:ascii="Times New Roman" w:hAnsi="Times New Roman"/>
          <w:i/>
          <w:color w:val="000000"/>
          <w:sz w:val="20"/>
        </w:rPr>
        <w:t>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Data and services revenue for the six months ended June 30, 2025, compared to the same period in 2024, was driven primarily by $34.7 million from increased demand for our Insights products. Across all Data and services products, the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revenue in the six months ended June 30, 2025 is primarily attributable to continued growth from within our existing customer base, as well as adoption of our services by new customers that did not purchase services in the six months ended June 30, 2024.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041" w:type="dxa"/>
        <w:jc w:val="left"/>
        <w:tblInd w:w="0" w:type="dxa"/>
        <w:tblLayout w:type="fixed"/>
        <w:tblCellMar>
          <w:top w:w="28" w:type="dxa"/>
          <w:left w:w="28" w:type="dxa"/>
          <w:bottom w:w="28" w:type="dxa"/>
          <w:right w:w="28" w:type="dxa"/>
        </w:tblCellMar>
      </w:tblPr>
      <w:tblGrid>
        <w:gridCol w:w="2941"/>
        <w:gridCol w:w="146"/>
        <w:gridCol w:w="211"/>
        <w:gridCol w:w="781"/>
        <w:gridCol w:w="146"/>
        <w:gridCol w:w="146"/>
        <w:gridCol w:w="211"/>
        <w:gridCol w:w="781"/>
        <w:gridCol w:w="146"/>
        <w:gridCol w:w="146"/>
        <w:gridCol w:w="211"/>
        <w:gridCol w:w="676"/>
        <w:gridCol w:w="166"/>
        <w:gridCol w:w="146"/>
        <w:gridCol w:w="275"/>
        <w:gridCol w:w="596"/>
        <w:gridCol w:w="3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Cost of revenues for the six months ended June 30, 2025, compared to the same period in 2024, was primarily due to increases of $58.1 million in material and service costs, of which $32.4 million in material and services is due to the Ambry Acquisition, $16.2 million in personnel-related costs, of which $12.5 million is due to the Ambry Acquisition, offset by a decrease of $14.8 million of stock-based compensation expenses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Genomics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Genomics for the six months ended June 30, 2025, compared to the same period in 2024, was primarily due to increases of $58.1 million in material and service costs, of which $32.4 million in material and services is due to the Ambry Acquisition, $16.0 million in personnel-related costs, of which $12.5 million is due to the Ambry Acquisition, offset by a decrease of $8.9 million of stock-based compensation expense related to RSUs for which the performance-based vesting condition was satisfied in connection with our IPO in the prior period.</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Cost of revenues, Data and services for the six months ended June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326" w:type="dxa"/>
        <w:jc w:val="left"/>
        <w:tblInd w:w="0" w:type="dxa"/>
        <w:tblLayout w:type="fixed"/>
        <w:tblCellMar>
          <w:top w:w="28" w:type="dxa"/>
          <w:left w:w="28" w:type="dxa"/>
          <w:bottom w:w="28" w:type="dxa"/>
          <w:right w:w="28" w:type="dxa"/>
        </w:tblCellMar>
      </w:tblPr>
      <w:tblGrid>
        <w:gridCol w:w="3271"/>
        <w:gridCol w:w="146"/>
        <w:gridCol w:w="211"/>
        <w:gridCol w:w="676"/>
        <w:gridCol w:w="146"/>
        <w:gridCol w:w="146"/>
        <w:gridCol w:w="211"/>
        <w:gridCol w:w="781"/>
        <w:gridCol w:w="146"/>
        <w:gridCol w:w="146"/>
        <w:gridCol w:w="211"/>
        <w:gridCol w:w="736"/>
        <w:gridCol w:w="166"/>
        <w:gridCol w:w="146"/>
        <w:gridCol w:w="243"/>
        <w:gridCol w:w="628"/>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decrease in Technology research and development expenses for the six months ended June 30, 2025, compared to the same period in 2024, was primarily due to a decrease of $43.8 million of stock-based compensation expenses related to RSUs for which the performance-based vesting condition was satisfied in connection with our IPO in the prior period, offset by an increase of $7.2 million in personnel-related costs associated with the investment in our cloud infrastructure and new lines of business, of which $5.0 million is due to the Ambry Acquisition.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jc w:val="left"/>
        <w:rPr/>
      </w:pPr>
      <w:r>
        <w:rPr/>
        <w:t> </w:t>
      </w:r>
    </w:p>
    <w:tbl>
      <w:tblPr>
        <w:tblW w:w="7263" w:type="dxa"/>
        <w:jc w:val="left"/>
        <w:tblInd w:w="0" w:type="dxa"/>
        <w:tblLayout w:type="fixed"/>
        <w:tblCellMar>
          <w:top w:w="28" w:type="dxa"/>
          <w:left w:w="28" w:type="dxa"/>
          <w:bottom w:w="28" w:type="dxa"/>
          <w:right w:w="28" w:type="dxa"/>
        </w:tblCellMar>
      </w:tblPr>
      <w:tblGrid>
        <w:gridCol w:w="2311"/>
        <w:gridCol w:w="146"/>
        <w:gridCol w:w="211"/>
        <w:gridCol w:w="677"/>
        <w:gridCol w:w="146"/>
        <w:gridCol w:w="146"/>
        <w:gridCol w:w="211"/>
        <w:gridCol w:w="677"/>
        <w:gridCol w:w="146"/>
        <w:gridCol w:w="146"/>
        <w:gridCol w:w="211"/>
        <w:gridCol w:w="736"/>
        <w:gridCol w:w="166"/>
        <w:gridCol w:w="146"/>
        <w:gridCol w:w="243"/>
        <w:gridCol w:w="628"/>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Research and development expenses for the six months ended June 30, 2025, compared to the same period in 2024, was primarily due to a decrease of $37.9 million of stock-based compensation expense related to RSUs for which the performance-based vesting condition was satisfied in connection with our IPO in the prior period, offset by an increase of $15.5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million in personnel-related costs for employees in our research and development group, of which $12.2 million is due to the Ambry Acquisition, and $3.2 million in validation and regulatory costs.</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221" w:type="dxa"/>
        <w:jc w:val="left"/>
        <w:tblInd w:w="0" w:type="dxa"/>
        <w:tblLayout w:type="fixed"/>
        <w:tblCellMar>
          <w:top w:w="28" w:type="dxa"/>
          <w:left w:w="28" w:type="dxa"/>
          <w:bottom w:w="28" w:type="dxa"/>
          <w:right w:w="28" w:type="dxa"/>
        </w:tblCellMar>
      </w:tblPr>
      <w:tblGrid>
        <w:gridCol w:w="2956"/>
        <w:gridCol w:w="146"/>
        <w:gridCol w:w="211"/>
        <w:gridCol w:w="781"/>
        <w:gridCol w:w="146"/>
        <w:gridCol w:w="146"/>
        <w:gridCol w:w="211"/>
        <w:gridCol w:w="781"/>
        <w:gridCol w:w="146"/>
        <w:gridCol w:w="146"/>
        <w:gridCol w:w="211"/>
        <w:gridCol w:w="841"/>
        <w:gridCol w:w="166"/>
        <w:gridCol w:w="146"/>
        <w:gridCol w:w="243"/>
        <w:gridCol w:w="628"/>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Selling, general and administrative expenses for the six months ended June 30, 2025, compared to the same period in 2024, was primarily due to a decrease of $346.3 million of stock-based compensation expenses related to RSUs for which the performance-based vesting condition was satisfied in connection with our IPO in the prior period, offset by increases of $54.4 million in personnel-related costs, of which $34.5 million is due to the Ambry Acquisition, $27.9 million in amortization of intangibles acquired from the Ambry Acquisition, $10.4 million in software and tools costs, of which $5.7 million is due to the Ambry Acquisition, $6.0 million in legal costs, and $5.5 million in acquisition costs.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147" w:type="dxa"/>
        <w:jc w:val="left"/>
        <w:tblInd w:w="0" w:type="dxa"/>
        <w:tblLayout w:type="fixed"/>
        <w:tblCellMar>
          <w:top w:w="28" w:type="dxa"/>
          <w:left w:w="28" w:type="dxa"/>
          <w:bottom w:w="28" w:type="dxa"/>
          <w:right w:w="28" w:type="dxa"/>
        </w:tblCellMar>
      </w:tblPr>
      <w:tblGrid>
        <w:gridCol w:w="1366"/>
        <w:gridCol w:w="146"/>
        <w:gridCol w:w="235"/>
        <w:gridCol w:w="637"/>
        <w:gridCol w:w="162"/>
        <w:gridCol w:w="162"/>
        <w:gridCol w:w="235"/>
        <w:gridCol w:w="637"/>
        <w:gridCol w:w="146"/>
        <w:gridCol w:w="146"/>
        <w:gridCol w:w="265"/>
        <w:gridCol w:w="531"/>
        <w:gridCol w:w="146"/>
        <w:gridCol w:w="146"/>
        <w:gridCol w:w="356"/>
        <w:gridCol w:w="515"/>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income for the six months ended June 30, 2025, compared to the same period in 2024,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536" w:type="dxa"/>
        <w:jc w:val="left"/>
        <w:tblInd w:w="0" w:type="dxa"/>
        <w:tblLayout w:type="fixed"/>
        <w:tblCellMar>
          <w:top w:w="28" w:type="dxa"/>
          <w:left w:w="28" w:type="dxa"/>
          <w:bottom w:w="28" w:type="dxa"/>
          <w:right w:w="28" w:type="dxa"/>
        </w:tblCellMar>
      </w:tblPr>
      <w:tblGrid>
        <w:gridCol w:w="1426"/>
        <w:gridCol w:w="146"/>
        <w:gridCol w:w="211"/>
        <w:gridCol w:w="736"/>
        <w:gridCol w:w="166"/>
        <w:gridCol w:w="146"/>
        <w:gridCol w:w="211"/>
        <w:gridCol w:w="736"/>
        <w:gridCol w:w="166"/>
        <w:gridCol w:w="146"/>
        <w:gridCol w:w="211"/>
        <w:gridCol w:w="736"/>
        <w:gridCol w:w="166"/>
        <w:gridCol w:w="146"/>
        <w:gridCol w:w="275"/>
        <w:gridCol w:w="596"/>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expense for the six months ended June 30, 2025, compared to the same period in 2024, was primarily driven by compounding interest on our Second Amended Note and additional interest expense from the Additional Term Loan Facility and Revolving Credit Facility.</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278" w:type="dxa"/>
        <w:jc w:val="left"/>
        <w:tblInd w:w="0" w:type="dxa"/>
        <w:tblLayout w:type="fixed"/>
        <w:tblCellMar>
          <w:top w:w="28" w:type="dxa"/>
          <w:left w:w="28" w:type="dxa"/>
          <w:bottom w:w="28" w:type="dxa"/>
          <w:right w:w="28" w:type="dxa"/>
        </w:tblCellMar>
      </w:tblPr>
      <w:tblGrid>
        <w:gridCol w:w="2386"/>
        <w:gridCol w:w="146"/>
        <w:gridCol w:w="216"/>
        <w:gridCol w:w="692"/>
        <w:gridCol w:w="149"/>
        <w:gridCol w:w="149"/>
        <w:gridCol w:w="216"/>
        <w:gridCol w:w="646"/>
        <w:gridCol w:w="166"/>
        <w:gridCol w:w="146"/>
        <w:gridCol w:w="211"/>
        <w:gridCol w:w="676"/>
        <w:gridCol w:w="146"/>
        <w:gridCol w:w="146"/>
        <w:gridCol w:w="202"/>
        <w:gridCol w:w="669"/>
        <w:gridCol w:w="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income (expense), net for the six months ended June 30, 2025, compared to the same period in 2024, was primarily driven by a $9.9 million increase in income due to the change in fair value of our warrant asset, $8.0 million in income from the IP License Agreement with SB Tempus, and by a $3.5 million increase in income related to gains on marketable equity securities, offset by a $0.9 million decrease in income related to the change in fair value of our warrant liability.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Benefit from (provision for) Income Taxes</w:t>
      </w:r>
      <w:r>
        <w:rPr>
          <w:rFonts w:ascii="Times New Roman" w:hAnsi="Times New Roman"/>
          <w:color w:val="000000"/>
          <w:sz w:val="20"/>
        </w:rPr>
        <w:t xml:space="preserve"> </w:t>
      </w:r>
    </w:p>
    <w:p>
      <w:pPr>
        <w:pStyle w:val="TextBody"/>
        <w:bidi w:val="0"/>
        <w:jc w:val="left"/>
        <w:rPr/>
      </w:pPr>
      <w:r>
        <w:rPr/>
        <w:t> </w:t>
      </w:r>
    </w:p>
    <w:tbl>
      <w:tblPr>
        <w:tblW w:w="8087" w:type="dxa"/>
        <w:jc w:val="left"/>
        <w:tblInd w:w="0" w:type="dxa"/>
        <w:tblLayout w:type="fixed"/>
        <w:tblCellMar>
          <w:top w:w="28" w:type="dxa"/>
          <w:left w:w="28" w:type="dxa"/>
          <w:bottom w:w="28" w:type="dxa"/>
          <w:right w:w="28" w:type="dxa"/>
        </w:tblCellMar>
      </w:tblPr>
      <w:tblGrid>
        <w:gridCol w:w="3466"/>
        <w:gridCol w:w="146"/>
        <w:gridCol w:w="233"/>
        <w:gridCol w:w="748"/>
        <w:gridCol w:w="161"/>
        <w:gridCol w:w="161"/>
        <w:gridCol w:w="233"/>
        <w:gridCol w:w="532"/>
        <w:gridCol w:w="166"/>
        <w:gridCol w:w="146"/>
        <w:gridCol w:w="211"/>
        <w:gridCol w:w="676"/>
        <w:gridCol w:w="146"/>
        <w:gridCol w:w="146"/>
        <w:gridCol w:w="91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5"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NM</w:t>
            </w:r>
            <w:r>
              <w:rPr>
                <w:rFonts w:ascii="Times New Roman" w:hAnsi="Times New Roman"/>
                <w:color w:val="000000"/>
                <w:sz w:val="13"/>
              </w:rPr>
              <w:t>(1)</w:t>
            </w:r>
          </w:p>
        </w:tc>
      </w:tr>
    </w:tbl>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Not meaningful</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provision for income tax benefit (expense) for the six months ended June 30, 2025, compared to the same period in 2024, was due to a $46.2 million discrete tax benefit recorded from the release of a portion of the valuation allowance attributable to net deferred tax liabilities related to the acquisition of Ambry which offset certain net deferred tax assets of us.</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3331"/>
        <w:gridCol w:w="146"/>
        <w:gridCol w:w="255"/>
        <w:gridCol w:w="763"/>
        <w:gridCol w:w="200"/>
        <w:gridCol w:w="176"/>
        <w:gridCol w:w="255"/>
        <w:gridCol w:w="418"/>
        <w:gridCol w:w="146"/>
        <w:gridCol w:w="146"/>
        <w:gridCol w:w="211"/>
        <w:gridCol w:w="631"/>
        <w:gridCol w:w="166"/>
        <w:gridCol w:w="146"/>
        <w:gridCol w:w="224"/>
        <w:gridCol w:w="647"/>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losses from equity method investments for the six months ended June 30, 2025, compared to the same period in 2024, was due to the losses from SB Tempus.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supplement our condensed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EBITDA is defined as earnings before interest, taxes, depreciation and amortization. We define adjusted EBITDA as net income (loss), adjusted to exclude (i) interest income, (ii) interest expense, (iii) depreciation and amortization, (iv) provision for (benefit from)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w:t>
      </w:r>
      <w:r>
        <w:rPr>
          <w:rFonts w:ascii="Times New Roman" w:hAnsi="Times New Roman"/>
          <w:color w:val="231F20"/>
          <w:sz w:val="20"/>
        </w:rPr>
        <w:t>acquisition-related expenses</w:t>
      </w:r>
      <w:r>
        <w:rPr>
          <w:rFonts w:ascii="Times New Roman" w:hAnsi="Times New Roman"/>
          <w:color w:val="000000"/>
          <w:sz w:val="20"/>
        </w:rPr>
        <w:t xml:space="preserve">, (x) the G-4 Special Payment (as defined in Note 11 to our condensed consolidated financial statements included elsewhere in this Quarterly Report on Form 10-Q), (xi) amortization of deferred other income from our IP License Agreement with SB Tempus and (xii) franchise taxes related to our IPO.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has limitations as a financial measure, should be considered as supplemental in nature, and is not meant as a substitute for, or superior to, the related financial information prepared in accordance with GAAP. Some of these limitations are that 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interest income which increases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depreciation and amortization expense, and although these are non-cash expenses, the asset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provision for or benefit from income taxes that reduces cash available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change in fair value of warrant liabilities, contingent consideration and warrant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adjusted EBITDA, along with net loss, the most directly comparable GAAP measure, for each period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57"/>
        <w:gridCol w:w="146"/>
        <w:gridCol w:w="233"/>
        <w:gridCol w:w="816"/>
        <w:gridCol w:w="183"/>
        <w:gridCol w:w="161"/>
        <w:gridCol w:w="233"/>
        <w:gridCol w:w="933"/>
        <w:gridCol w:w="166"/>
        <w:gridCol w:w="146"/>
        <w:gridCol w:w="211"/>
        <w:gridCol w:w="841"/>
        <w:gridCol w:w="166"/>
        <w:gridCol w:w="146"/>
        <w:gridCol w:w="211"/>
        <w:gridCol w:w="841"/>
        <w:gridCol w:w="415"/>
      </w:tblGrid>
      <w:tr>
        <w:trPr/>
        <w:tc>
          <w:tcPr>
            <w:tcW w:w="4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(574,717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on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(75,112</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changes include gains and losses related to quarterly fair value adjustments of our warrant liability, warrant asset, marketable equity securities, contingent consideration liabilities, indemnity-related holdback liabilities.</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(2)</w:t>
      </w:r>
    </w:p>
    <w:p>
      <w:pPr>
        <w:pStyle w:val="TextBody"/>
        <w:bidi w:val="0"/>
        <w:jc w:val="left"/>
        <w:rPr>
          <w:rFonts w:ascii="Times New Roman" w:hAnsi="Times New Roman"/>
          <w:color w:val="231F20"/>
          <w:sz w:val="20"/>
        </w:rPr>
      </w:pPr>
      <w:r>
        <w:rPr>
          <w:rFonts w:ascii="Times New Roman" w:hAnsi="Times New Roman"/>
          <w:color w:val="231F20"/>
          <w:sz w:val="20"/>
        </w:rPr>
        <w:t>Acquisition related expenses consist of legal, diligence, accounting, and financing costs incurred for acquisitions during the three and six months ended June 30,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and as of June 30, 2025, we had an accumulated deficit of $2.3 billion.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funded our operations to date principally from the sale of stock, convertible debt, term debt, the Revolving Credit Facility, and sales of our products. As of June 30, 2025, we had cash, cash equivalents and restricted cash of $188.1 million. In April 2024, we sold an aggregate of 3,489,981 shares of our Series G-5 convertible preferred stock at a price per share of $57.3069, for an aggregate purchase price of approximately $200.0 million in a private placement to an accredited investor. In June 2024, we completed our IPO, which resulted in net proceeds of $382.0 million after deducting underwriting discounts and commissions of $28.7 million. In July 2025, we completed the Offering, which resulted in net proceeds of $725.9 million after deducting the initial purchasers’ discounts and commissions and the estimated offering expenses payable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and in our Form 10-K for the year ended December 31, 2024,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we completed the Offering of $750.0 million aggregate principal amount of 0.75% Convertible Senior Notes due 2030, including the exercise in full of the initial purchasers’ over-allotment option to purchase up to an additional $100.0 million principal amount of the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ours and will mature on July 15, 2030, unless earlier converted, redeemed or repurchased. Interest on the Notes will accrue at a rate of 0.75% per year from July 3, 2025 and will be payable semiannually in arrears on January 15 and July 15 of each year, beginning on January 15, 2026. The Notes are convertible at the option of the holders at any time prior to the close of business on the business day immediately preceding April 15, 2030, only upon satisfaction of one or more of the following conditions: (1) during any calendar quarter commencing after the fiscal quarter ending on September 30, 2025 (and only during such calendar quarter), if the last reported sale price of our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(2) during the five business day period after any ten consecutive trading day period (the “measurement period”) in which the trading price per $1,000 principal amount of the Notes for each trading day of the measurement period was less than 98% of the product of the last reported sale price of the Class A common stock and the conversion rate for the Notes on each such trading day; (3) if we call such Notes for redemption, at any time prior to the close of business on the second scheduled trading day immediately preceding the redemption date, but only with respect to the Notes called for redemption; or (4) upon the occurrence of specified corporate events. On or after April 15, 2030, until the close of business on the second scheduled trading day immediately preceding the maturity date, holders may convert all or any portion of their Notes at their option at any time, regardless of the foregoing conditions. Upon conversion, we will pay or deliver, as the case may be, cash, shares of Class A common stock or a combination of cash and shares of Class A common stock, at our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will initially be 11.8778 shares of Class A common stock per $1,000 principal amount of Notes, which is equivalent to an initial conversion price of approximately $84.19 per share of Class A common stock. The conversion rate for the Notes is subject to adjustment under certain circumstances. In addition, following certain corporate events that occur prior to the maturity date or if we deliver a notice of redemption in respect of the Notes, we will, in certain circumstances, increase the conversion rate of the Notes for a holder who elects to convert its Notes in connection with a corporate event or convert its Notes called for redemption during the related redemption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redeem the Notes prior to July 20, 2028. We may redeem for cash all or any portion of the Notes, at its option, on or after July 20, 2028, if the last reported sale price of the Class A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to, but excluding, the redemption date. If we redeem less than all the outstanding Notes, at least $100.0 million aggregate principal amount of Notes must be outstanding and not subject to redemption, as of, and after giving effect to, delivery of the relevant notice of redemption. No sinking fund is provided for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undergo a fundamental change, holders may require us to repurchase for cash all or any portion of their Notes at a fundamental change repurchase price equal to 100% of the principal amount of the Notes to be repurchased, plus accrued and unpaid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in connection with the exercise in full by the initial purchasers of their over-allotment option to purchase additional Notes on July 1, 2025, we entered into capped call transactions, or the Capped Call, effective as of July 3, 2025, with one of the initial purchasers and certain other financial institutions. The Capped Call is expected generally to reduce the potential dilution to the Class A common stock upon any conversion of the Notes and/or offset any cash payments we are required to make in excess of the principal amount of converted Notes, with such reduction and/or offset subject to a cap based on a cap price initially equal to $111.1950 per share and is subject to certain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proceeds from the Offering were approximately $725.9 million, after deducting the initial purchasers’ discounts and commissions and the estimated offering expenses payable by us. We used a portion of the net proceeds from the Offering to repay $293.5 million of the Term Loan Facility (as defined below), which includes repayment of the principal, accrued interest, and prepayment premium. The repayment results in a loss on debt extinguishment of approximately $18.5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paid approximately $41.8 million cost of the Capped Call from the proceeds of the Offering.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22, 2022, we entered into a Credit Agreement, or the Original Credit Agreement, with Ares Capital Corporation, or Ares, for a senior secured loan, or the Term Loan Facility, in an original principal amount of $175.0 million, less original issue discount of $4.4 million and deferred financing fees of $2.6 million. The Original Credit Agreement was amended on April 25, 2023 to, among other things, increase the original principal amount of the Term Loan Facility by $50.0 million, less original issue discount of $1.3 million, and was further amended on October 11, 2023 to, among other things, increase the original principal amount of the Term Loan Facility by $35.0 million, less original issue discount of $0.9 million. On February 3, 2025, we entered into a Third Amendment Agreement, or the Third Amendment Agreement, which, among other things, provided for an additional $200.0 million tranche of senior secured term loans, or the Additional Term Loan Facility, and together with the Term Loan Facility, the “Term Loan Facilities,” and the loans thereunder, the “Term Loans,” and $100.0 million in priority revolving loan commitments, or the Revolving Credit Facility, and loans thereunder, the “Revolving Loans”. We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Additional Term Loan Facility and the Revolving Credit Facility mature on February 3, 2030. The Term Loan Facility matures in September 2027. The Term Loan Facilities and Revolving Credit Facility, or together, the Credit Facilities, are subject to quarterly interest payments for Base Rate loans and at the end of the applicable interest rate period for Term Secured Overnight Financing Rate, or SOFR, loans. The Third Amendment Agreement was accounted for as a debt modification.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paid-in-kind, or PIK, election or a Cash election. Pursuant to the Original Credit Agreement, as amended by the Third Amendment Agreement, or the Credit Agreement, through December 31, 2025, interest on the Term Loans accrues at a per annum rate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 respectively, and the PIK interest rate will be 3.25%. </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From and after January 1, 2026, interest on the Term Loans accrues at a per annum rate as follows: (i) for any interest period for which we elect to pay interest in cash, the cash interest rate for Base Rate and Term SOFR borrowings will be the Base Rate </w:t>
      </w:r>
      <w:r>
        <w:rPr>
          <w:rFonts w:ascii="Times New Roman" w:hAnsi="Times New Roman"/>
          <w:i/>
          <w:color w:val="231F20"/>
          <w:sz w:val="20"/>
        </w:rPr>
        <w:t>plus</w:t>
      </w:r>
      <w:r>
        <w:rPr>
          <w:rFonts w:ascii="Times New Roman" w:hAnsi="Times New Roman"/>
          <w:color w:val="231F20"/>
          <w:sz w:val="20"/>
        </w:rPr>
        <w:t xml:space="preserve"> a margin ranging from 5.75% to 6.75% and Term SOFR </w:t>
      </w:r>
      <w:r>
        <w:rPr>
          <w:rFonts w:ascii="Times New Roman" w:hAnsi="Times New Roman"/>
          <w:i/>
          <w:color w:val="231F20"/>
          <w:sz w:val="20"/>
        </w:rPr>
        <w:t>plus</w:t>
      </w:r>
      <w:r>
        <w:rPr>
          <w:rFonts w:ascii="Times New Roman" w:hAnsi="Times New Roman"/>
          <w:color w:val="231F20"/>
          <w:sz w:val="20"/>
        </w:rPr>
        <w:t xml:space="preserve"> a margin ranging from 6.75% to 7.75%, respectively, and (ii) for any interest period for which we elect to pay interest in kind, the cash interest rate for Base Rate and Term SOFR borrowings will be the Base Rate </w:t>
      </w:r>
      <w:r>
        <w:rPr>
          <w:rFonts w:ascii="Times New Roman" w:hAnsi="Times New Roman"/>
          <w:i/>
          <w:color w:val="231F20"/>
          <w:sz w:val="20"/>
        </w:rPr>
        <w:t>plus</w:t>
      </w:r>
      <w:r>
        <w:rPr>
          <w:rFonts w:ascii="Times New Roman" w:hAnsi="Times New Roman"/>
          <w:color w:val="231F20"/>
          <w:sz w:val="20"/>
        </w:rPr>
        <w:t xml:space="preserve"> a margin of 4% or 4.5% and Term SOFR </w:t>
      </w:r>
      <w:r>
        <w:rPr>
          <w:rFonts w:ascii="Times New Roman" w:hAnsi="Times New Roman"/>
          <w:i/>
          <w:color w:val="231F20"/>
          <w:sz w:val="20"/>
        </w:rPr>
        <w:t>plus</w:t>
      </w:r>
      <w:r>
        <w:rPr>
          <w:rFonts w:ascii="Times New Roman" w:hAnsi="Times New Roman"/>
          <w:color w:val="231F20"/>
          <w:sz w:val="20"/>
        </w:rPr>
        <w:t xml:space="preserve"> a margin of 5% or 5.5%, respectively, and the PIK interest rate will be 3.25%. The applicable margin for any interest period for which we elect to pay interest in cash will be based on a consolidated first lien leverage ratio and whether we have satisfied certain junior capital raising requirements. The applicable margin for any interest period for which we elect to pay interest in kind will be based on whether we have satisfied certain junior capital raising requirements.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the Revolving Loans accrues interest at a per annum rate equal to either, the Base Rate </w:t>
      </w:r>
      <w:r>
        <w:rPr>
          <w:rFonts w:ascii="Times New Roman" w:hAnsi="Times New Roman"/>
          <w:i/>
          <w:color w:val="000000"/>
          <w:sz w:val="20"/>
        </w:rPr>
        <w:t>plus</w:t>
      </w:r>
      <w:r>
        <w:rPr>
          <w:rFonts w:ascii="Times New Roman" w:hAnsi="Times New Roman"/>
          <w:color w:val="000000"/>
          <w:sz w:val="20"/>
        </w:rPr>
        <w:t xml:space="preserve"> 2.75% or Term SOFR </w:t>
      </w:r>
      <w:r>
        <w:rPr>
          <w:rFonts w:ascii="Times New Roman" w:hAnsi="Times New Roman"/>
          <w:i/>
          <w:color w:val="000000"/>
          <w:sz w:val="20"/>
        </w:rPr>
        <w:t>plus</w:t>
      </w:r>
      <w:r>
        <w:rPr>
          <w:rFonts w:ascii="Times New Roman" w:hAnsi="Times New Roman"/>
          <w:color w:val="000000"/>
          <w:sz w:val="20"/>
        </w:rPr>
        <w:t xml:space="preserve"> 3.75% At all times prior to the termination of the Revolving Credit Facility, to the extent that, on any date, the outstanding aggregate principal amount of Revolving Credit Facility is less than the greater of (x) 50.0% of the revolving commitments and (y)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$50.0 million, the amount of interest payable on the Revolving Loans shall be equal to the amount of interest that would be payable had the outstanding principal amount of Revolving Loans equaled the greater of (x) 50.0% of the revolving commitments and (y) $50.0 million, or the Minimum Revolving Interest Amount. A commitment fee will accrue on the unused amount of the Revolving Credit Facility at a per annum rate of 0.50%; provided, however, that no such fee shall accrue to the extent we are being charged the Minimum Revolving Interest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We were in compliance with all covenants in the Credit Agreement as of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2025, in conjunction with the Offering, we entered into a Fourth Amendment to the Credit Agreement, or the Fourth Amendment Agreement. The Fourth Amendment Agreement amends the terms of the Credit Agreement to (i) permit the Offering and the related derivative transactions and (ii) provide that the Offering satisfies the junior capital raise requirement set forth in the Credit Agreement. A failure to timely satisfy the junior capital raise requirement would have resulted in a 0.50% per annum increase in the applicable margin from and after January 1, 2026. Except as noted above, the material terms of the Credit Agreement were not amended.</w:t>
      </w:r>
    </w:p>
    <w:p>
      <w:pPr>
        <w:pStyle w:val="TextBody"/>
        <w:bidi w:val="0"/>
        <w:spacing w:before="360" w:after="283"/>
        <w:jc w:val="left"/>
        <w:rPr>
          <w:rFonts w:ascii="Times New Roman" w:hAnsi="Times New Roman"/>
          <w:sz w:val="20"/>
        </w:rPr>
      </w:pPr>
      <w:r>
        <w:rPr>
          <w:rFonts w:ascii="Times New Roman" w:hAnsi="Times New Roman"/>
          <w:b/>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we amended our convertible promissory note, or the Second Amended Note, with Google LLC, or Google, originally entered into on June 22, 2020, or the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us of ours Google Cloud Platform agreement. We generally may not prepay the Outstanding Amount, except that we may, at our option, prepay the Outstanding Amount in an amount such that the principal amount remaining outstanding after such repayment is $150.0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974"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operating activities during the six months ended June 30, 2025 was $61.5 million, which resulted from a net loss of $110.9 million and a net change in our operating assets and liabilities of $10.4 million, offset by non-cash charges of $59.9 million. Non-cash charges primarily consisted of $48.4 million of depreciation and amortization, $45.4 million of stock-based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$7.2 million of PIK interest added to principal, and $4.6 million of non-cash operating lease costs, offset by deferred income taxes of $46.2 million, and $6.0 million of gain on marketable equity securities. The net change in our operating assets and liabilities was primarily the result of a $49.2 million increase in accounts receivable due to increased sales and the timing of customer payments, offset by a $36.8 million increase in deferred revenue, which is primarily due to the Pathos Foundation Model agreement.</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during the six months ended June 30, 2024 was $198.5 million, which resulted from a net loss of $617.0 million and a net change in our operating assets and liabilities of $103.8 million, offset by non-cash charges of $522.3 million. Non-cash charges primarily consisted of stock-based compensation of $488.3 million, $18.3 million of depreciation and amortization, a decrease in the fair value of the warrant asset of $7.7 million, and $3.3 million of non-cash operating lease costs. The net change in our operating assets and liabilities was primarily the result of decreases in accounts payable and deferred revenue of $33.4 million and $28.7 million, respectively, and a $24.0 million increase in accounts receivable.</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six months ended June 30, 2025 was $385.3 million, which was the result of $380.8 million cash paid related to the Ambry and Deep 6 acquisitions, purchases of property and equipment of $9.6 million, and $3.3 million of purchases of capitalized software from the Ambry Acquisition, offset by proceeds from the sale of marketable equity securities of $8.3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during the six months ended June 30, 2024 was $9.0 million, which was the result of proceeds from the sale of marketable equity securities of $23.1 million, offset by purchases of property and equipment of $14.1 million.</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during the six months ended June 30, 2025 was $293.0 million, which was the result of net proceeds from the Additional Term Loan Facility of $196.0 million, and net proceeds from the Revolving Credit Facility of $98.0 million, offset by $1.0 million of payment of deferred financing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during the six months ended June 30, 2024 was $502.6 million, which was the result of proceeds from the issuance of common stock in connection with our IPO, net of underwriting discounts and commissions of $382.0 million, and the issuance of Series G-5 Preferred Stock of $199.8 million, offset by $69.9 million of taxes paid related to the net settlement of a portion of the RSUs outstanding as of June 30, 2024 for which the service-based vesting condition was satisfied before June 14, 2024 and for which the performance-based vesting condition was satisfied in connection with the IPO, or the RSU Net Settlement.</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prepared our condensed consolidated financial statements in accordance with generally accepted accounting principles in the United States, or GAAP.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the accounting policy disclosed below, there have been no material changes to our critical accounting policies and estimates during the six months ended June 30, 2025 as described in the Form 10-K for the year ended December 31, 2024. </w:t>
      </w:r>
    </w:p>
    <w:p>
      <w:pPr>
        <w:pStyle w:val="TextBody"/>
        <w:bidi w:val="0"/>
        <w:spacing w:before="240" w:after="160"/>
        <w:jc w:val="left"/>
        <w:rPr>
          <w:rFonts w:ascii="Times New Roman" w:hAnsi="Times New Roman"/>
          <w:i/>
          <w:color w:val="000000"/>
          <w:sz w:val="20"/>
        </w:rPr>
      </w:pPr>
      <w:r>
        <w:rPr>
          <w:rFonts w:ascii="Times New Roman" w:hAnsi="Times New Roman"/>
          <w:i/>
          <w:color w:val="000000"/>
          <w:sz w:val="20"/>
        </w:rPr>
        <w:t>Business Combinations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accordance with ASC Topic 805, Business Combinations, the Company uses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pStyle w:val="TextBody"/>
        <w:bidi w:val="0"/>
        <w:spacing w:before="20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titled “Summary of Significant Accounting Policies” in Note 2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aggregate market value of shares of our Class A common stock held by non-affiliates as of June 30, 2025, we expect to become a “large accelerated filer” and no longer qualify as an emerging growth company as of December 31, 2025.</w:t>
      </w:r>
    </w:p>
    <w:p>
      <w:pPr>
        <w:pStyle w:val="TextBody"/>
        <w:bidi w:val="0"/>
        <w:spacing w:before="360" w:after="283"/>
        <w:jc w:val="left"/>
        <w:rPr>
          <w:rFonts w:ascii="Times New Roman" w:hAnsi="Times New Roman"/>
          <w:b/>
          <w:color w:val="000000"/>
          <w:sz w:val="20"/>
        </w:rPr>
      </w:pPr>
      <w:bookmarkStart w:id="10" w:name="item_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cash equivalents and restricted cash, and our indebtedness. As of June 30, 2025, we had cash, cash equivalents and restricted cash of $188.1 million held primarily in cash deposits and money market funds. As of June 30, 2025, we had $579.6 million outstanding under our Term Loan Facilities and Revolving Credit Facility, which are subject to quarterly interest payments. A hypothetical 100 basis point increase or decrease in interest rates under our Term Loan Facilities and Revolving Credit Facility would not be material to our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revenue is generated in the United States. Through June 30, 2025,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may be adversely affected in the future due to these related changes. As of June 30, 2025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pStyle w:val="TextBody"/>
        <w:bidi w:val="0"/>
        <w:spacing w:before="360" w:after="283"/>
        <w:jc w:val="left"/>
        <w:rPr>
          <w:rFonts w:ascii="Times New Roman" w:hAnsi="Times New Roman"/>
          <w:sz w:val="20"/>
        </w:rPr>
      </w:pPr>
      <w:bookmarkStart w:id="11" w:name="item_4"/>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principal executive officer and principal financial officer have concluded that these disclosure controls and procedures were effective at a reasonable assurance level as of June 30, 2025.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identified in connection with the evaluation required by Rule 13a-15(d) and 15d-15(d) of the Exchange Act that occurred during the period covered by this Quarterly Report on Form 10-Q that have materially affected, or is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on Effectiveness of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
      <w:bookmarkEnd w:id="1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We have not received additional inquiry from the U.S. Attorney’s Office since our last document production.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While we believe our programs and payments comply with the Anti-Kickback statute,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 Guardant in the U.S. District Court for the Southern District of California alleging that certain Guardant products infringe U.S. Patent Nos. 12,112,839, 11,640,859, 10,957,041, and 10,991,097. All cases are pending. </w:t>
      </w:r>
    </w:p>
    <w:p>
      <w:pPr>
        <w:pStyle w:val="TextBody"/>
        <w:bidi w:val="0"/>
        <w:spacing w:before="80" w:after="160"/>
        <w:jc w:val="left"/>
        <w:rPr>
          <w:rFonts w:ascii="Times New Roman" w:hAnsi="Times New Roman"/>
          <w:sz w:val="20"/>
        </w:rPr>
      </w:pPr>
      <w:r>
        <w:rPr>
          <w:rFonts w:ascii="Times New Roman" w:hAnsi="Times New Roman"/>
          <w:color w:val="000000"/>
          <w:sz w:val="20"/>
        </w:rPr>
        <w:t xml:space="preserve">On June 12, 2025, the Company, Mr. Lefkofsky, our Chief Executive Officer, and Mr. Rogers, our Chief Financial Officer, were named as defendants in a federal securities class-action lawsuit titled </w:t>
      </w:r>
      <w:r>
        <w:rPr>
          <w:rFonts w:ascii="Times New Roman" w:hAnsi="Times New Roman"/>
          <w:i/>
          <w:color w:val="000000"/>
          <w:sz w:val="20"/>
        </w:rPr>
        <w:t>Shouse v. Tempus AI, Inc. et al</w:t>
      </w:r>
      <w:r>
        <w:rPr>
          <w:rFonts w:ascii="Times New Roman" w:hAnsi="Times New Roman"/>
          <w:color w:val="000000"/>
          <w:sz w:val="20"/>
        </w:rPr>
        <w:t xml:space="preserve">, which is pending in the United States District Court for the Northern District of Illinois. The complaint alleges that between August 6, 2024 and May 27, 2025, the defendants made false or misleading statements or omitted to state material facts regarding Tempus's business, operations, and prospects. We believe the complaint to be without merit, and we intend to defend ourselves vigorously against the allegations.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2024, filed with the SEC on February 24, 2025. The risks and uncertainties disclosed in such Annual Report could materially adversely affect our business, financial condition, cash flows or results of operations and thus our stock price. Except as set forth below, during the second quarter of fiscal 2025, there were no material changes to our previously disclosed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These risk factors may be important to understanding other statements in this Quarterly Report and should be read in conjunction with the unaudited condensed consolidated financial statements and related notes in Part I, Item 1, “</w:t>
      </w:r>
      <w:r>
        <w:rPr>
          <w:rFonts w:ascii="Times New Roman" w:hAnsi="Times New Roman"/>
          <w:i/>
          <w:color w:val="000000"/>
          <w:sz w:val="20"/>
        </w:rPr>
        <w:t>Financial Statements</w:t>
      </w:r>
      <w:r>
        <w:rPr>
          <w:rFonts w:ascii="Times New Roman" w:hAnsi="Times New Roman"/>
          <w:color w:val="000000"/>
          <w:sz w:val="20"/>
        </w:rPr>
        <w:t>” and Part I, Item 2,“</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this Quarterly Report.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Convertible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Notes and the issuance of shares of our Class A common stock upon conversion of the Notes, if any, may impact our financial results, result in dilution to our stockholders, create downward pressure on the price of our Class A common stock, and restrict our ability to raise additional capital or to engage in a beneficial takeover.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issued approximately $750.0 million in aggregate principal amount of 0.75% Convertible Senior Notes due 2030, or the Notes. We are subject to a variety of risks related to the Notes, such as: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debt requires a certain level of cash flow or financing from other sources, and our ability to make scheduled payments of the principal and interest, or to refinance or repurchase our Notes depends on our future performance, which is subject to economic, financial, competitive and other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refinance or repurchase our indebtedness will depend on the capital markets and our financial condition at such time, and if we are unable to engage in any of these activities or engage in these activities on desirable terms, we may be unable to meet the obligations of our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shares of our Class A common stock are issued to the holders of the Notes upon conversion, there will be dilution to our stockholders’ equity and the market price of our Class A common stock may decrease due to the additional selling pressure in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in the indentures governing the Notes may delay or prevent an otherwise beneficial takeover attempt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seek to retire or purchase our outstanding debt, including the Notes, through cash purchases and/or exchanges for other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capped call transactions may affect the value of the Notes and our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Notes, we entered into capped call transactions with one of the initial purchasers and certain other financial institutions, or the option counterparties. The capped call transactions cover, subject to customary adjustments, the number of shares of our Class A common stock initially underlying the Notes. The capped call transactions are expected generally to reduce the potential dilution to our Class A common stock upon any conversion of Notes and/or offset any cash payments we are required to make in excess of the principal amount of converted Notes, as the case may be, with such reduction and/or offset subject to a cap.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establishing their initial hedges of the capped call transactions, the option counterparties or their respective affiliates likely entered into various derivative transactions with respect to our Class A common stock and/or purchased shares of our Class A common stock concurrently with or shortly after the pricing of the Notes, including with, or from, as the case may be, certain investors in the Notes. 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issuance of the Notes and prior to the maturity of the Notes (and are likely to do so during the 20 trading day period beginning on the 21st scheduled trading day prior to the maturity date of the Notes, or, to the extent we exercise the relevant election under the capped call transactions, following any repurchase, redemption, or conversion of the Notes). 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 and the value of the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Global economic conditions have from time to time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terms of the capped call transactions may be subject to adjustment, modification or, in some cases, renegotiation in the event of certain corporate and other transactions. The capped call transactions may not operate as we intend in the event that we are required to adjust the terms of such instruments as a result of transactions in the future or in the event of other unanticipated developments that may adversely affect the functioning of the capped call transactions.</w:t>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17, 2024, we completed our IPO in which we issued and sold 11,100,000 shares of Class A common stock, at a public offering price of $37.00 per share. We received net proceeds of $382.0 million after deducting underwriting discounts and commissions of $28.7 million. In connection with the closing of the IPO, all shares of our then-outstanding convertible preferred stock automatically converted into an aggregate of 66,640,660 shares of Class A common stock. All shares sold were registered pursuant to a registration statement on Form S-1 (File No. 333-279558), as amended (the “Registration statement”), declared effective by the SEC on June 13, 2024. Morgan Stanley &amp; Co. LLC, J.P. Morgan Securities LLC and Allen acted as representatives of the underwriters for the IPO.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used a portion of the net proceeds from our IPO to satisfy tax withholding and remittance obligations related to RSU Net Settlement and for working capital for the quarter ended June 30, 2025. There has been no material change in the expected use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proceeds from our IPO as described in the Final Prospectus dated as of June 13, 2024 and filed with the SEC pursuant to Rule 424(b)(4) on June 17, 2024.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item_5_othe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Reincorporation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2025, we filed (i) a certificate of conversion with the Secretary of State of the State of Delaware and (ii) articles of conversion with the Nevada Secretary of State, pursuant to which the reincorporation of the Company from the State of Delaware to the State of Nevada, or the Reincorporation, became effective on August 7, 2025 at 11:59 p.m. Eastern Time, or the Effective Time. At the Effective Time, (i) our state of incorporation changed from the State of Delaware to the State of Nevada; and (ii) the affairs of our Company ceased to be governed by the laws of the State of Delaware and our Thirteenth Amended and Restated Certificate of Incorporation and amended and restated bylaws, and instead became governed by the laws of the State of Nevada and the articles of incorporation filed with the Nevada Secretary of State, or the Nevada Articles and the bylaws approved by our board of directors, or the Nevada Bylaws. The Reincorporation did not result in any change in the headquarters, business, jobs, management, properties, location of any of our offices or facilities, number of employees, obligations, assets, liabilities or net worth (other than as a result of the transaction costs related to the Reincorporation). The Reincorporation did not materially affect any of our material contracts with any third parties, and our rights and obligations under those material contractual arrangements continue to be the rights and obligations of our Company after the Reincorporation.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Effective Time, each outstanding share of Class A Common Stock, par value $0.0001 per share, of the Delaware corporation, or Delaware Corporation Class A Common Stock automatically converted into one outstanding share of Class A common stock, par value $0.0001 per share, of the Nevada corporation, or Nevada Corporation Class A Common Stock or Class A Common Stock, and each outstanding share of Class B Common Stock of the Delaware corporation, par value $0.0001 per share, or Delaware Corporation Class B Common Stock, automatically converted into one outstanding share of Class B common stock, par value $0.0001 per share, of the Nevada corporation, or Nevada Corporation Class B Common Stock. Each book entry credit with our transfer agent, Equiniti Trust Company, LLC, will be automatically updated without any action required on behalf of the stockholders. At the Effective Time, each outstanding restricted stock award, restricted stock unit (including performance units), option, warrant or other right to acquire shares of Delaware Corporation Class A Common Stock or Delaware Corporation Class B Common Stock automatically became a restricted stock award, restricted stock unit (including performance units), option, warrant or other right to acquire an equal number of shares of Nevada Corporation Class A Common Stock or Nevada Corporation Class B Common Stock, as applicable, under the same terms and conditions. The Nevada Corporation Class A Common Stock continues to be traded on the Nasdaq Global Select Market under the symbol “TEM.”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rights of our stockholders were changed as a result of the Reincorporation. A more detailed description of the Plan of Conversion, the Nevada Articles, the Nevada Bylaws, and the effects of the Reincorporation is set forth in our definitive proxy statement for the 2025 Annual Meeting of Stockholders filed with the Securities and Exchange Commission on April 7, 2025. In addition, certain ministerial changes were made to the indenture for our 0.75% Convertible Senior Notes due 2030, or the Notes. The foregoing descriptions of the Plan of Conversion the Nevada Articles and the supplemental indenture for the Notes, or the Supplemental Indenture, do not purport to be complete and are qualified in their entirety to the Plan of Conversion, the Nevada Articles and the Supplemental Indenture filed as Exhibits 2.1, 3.1 and 4.5, respectively, to this Quarterly Report on Form 10-Q and incorporated herein by reference.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Amended and Restated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7, 2025, immediately following the Effective Time, our board of directors approved the amendment and restatement of the Nevada Bylaws, or the A&amp;R Nevada Bylaws, to remove the requirement to provide a list of stockholders entitled to vote at stockholder meetings and to remove the restrictions on what can be delegated by our board of directors to committees of the board of directors as such restrictions are not required by the Nevada Revised Statutes, or the NRS. The foregoing description of the A&amp;R Nevada Bylaws does not purport to be complete and is qualified in its entirety to the A&amp;R Nevada Bylaws filed as Exhibit 3.2 to this Quarterly Report on Form 10-Q and incorporated herein by reference.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Amended and Restated Articles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7, 2025, immediately following the Effective Time, our board of directors approved an amendment of the Nevada Articles, or the A&amp;R Articles, subject to obtaining the required stockholder approval thereof, to among other things, waive jury trials for internal actions in conformity with recent amendments to Nevada law, opt us out of certain statutory requirements regarding dividends and other distributions pursuant to NRS 78.288(2)(b), and opt out of the provisions of Nevada’s “combinations with interested stockholders” statutes (NRS 78.411 to 78.444). On August 8, 2025, stockholders holding a majority of the voting power of our outstanding capital stock, or the Majority Stockholder, pursuant to an in accordance with NRS 78.320, 78.385, 78.390 and 78.403, approved the A&amp;R Articles. We intend to file an information statement on Schedule 14C with the Securities and Exchange Commission with respect to the actions taken by the Majority Stockholder and the A&amp;R Articles will not become effective until the date that is 20 calendar days after a definitive information statement on Form 14C is first mailed or otherwise delivered to holders of our capital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we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The issuance and sale, if any, of shares of Class A Common Stock under the Sales Agreement will be made pursuant to an automatically effective registration statement on Form S-3 and the related prospectus included therein, or the ATM Prospectus, in each case to be filed with the Securities and Exchange Commission. In accordance with the terms of the Sales Agreement, under the ATM Prospectus, we may offer and sell shares of Class A Common Stock having an aggregate offering price of up to $500.0 million from time to time through the Sales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sale, if any, of shares of our Class A Common Stock under the Sales Agreement will be made by any method permitted that is deemed to be an “at-the-market” equity offering as defined in Rule 415(a)(4) promulgated under the Securities Act of 1933, as amended, or the Securities Act, including sales made directly on The Nasdaq Global Select Market or any other trading market for the Class A Common Stock. Subject to the terms and conditions of the Sales Agreement, the Sales Agents will use their commercially reasonable efforts to sell the shares of Class A Common Stock from time to time, based upon our instructions.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payable to the Sales Agents as sales agents shall be up to 3.0% of the gross sales price of the shares of Class A Common Stock sold through the Sales Agents pursuant to the Sales Agreement. In addition, we will reimburse the Sales Agents for certain expenses incurred in connection with the Sales Agreement, and we have agreed in the Sales Agreement to provide indemnification and contribution to the Sales Agents against certain liabilities, including liabilities under the Securities Act or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obligated to make any sales of shares of Class A Common Stock under the Sales Agreement. The offering of shares of Class A Common Stock pursuant to the Sales Agreement will terminate upon (a) the election of the Sales Agents upon the occurrence of certain adverse events, (b) ten days’ advance notice from the Company to the Sales Agents or ten days’ advance notice from any of the Sales Agents to the Company or (c) otherwise by mutual agreement of the parties pursuant to the terms of the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summary of the Sales Agreement does not purport to be complete and is qualified in its entirety to the Sales Agreement filed as Exhibit 10.3 to this Quarterly Report on Form 10-Q and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representations, warranties and covenants contained in the Sales Agreement were made solely for the benefit of the parties to the Sales Agreement, and may be subject to limitations agreed upon by the contracting parties. Accordingly, the Sales Agreement is incorporated herein by reference only to provide investors with information regarding the terms of the Sales Agreement and not to provide investors with any other factual information regarding the Company or its business, and should be read in conjunction with the disclosures in our periodic reports and other filings with the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shall not constitute an offer to sell or the solicitation of an offer to buy the shares of our Class A Common Stock discussed herein, nor shall there be any offer, solicitation, or sale of the shares of Class A Common Stock in any state or other jurisdiction in which such offer, solicitation or sale would be unlawful prior to registration or qualification under the securities laws of any such state or other jurisdiction.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Grants of Performance-Based 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7, 2025, the Compensation Committee of our board of directors, or the Committee, approved the following grants of performance-based restricted stock units, or PSUs, under the Tempus AI, Inc. 2024 Equity Incentive Plan, or the Plan, to our named executive officers and principal financial officer: (i) Eric Lefkofsky, our Chief Executive Officer: 750,000 PSUs; (ii) Ryan Fukushima, our Chief Operating Officer: 199,800 PSUs; (iii) Andrew Polovin, our Executive Vice President, General Counsel and Secretary: 99,900 PSUs; and (iv) Jim Rogers, our Chief Financial Officer: 99,900 PSUs.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PSUs can be earned based on the satisfaction of certain performance-based vesting conditions during three overlapping performance periods—calendar year 2025, calendar years 2025 and 2026, and calendar years 2025, 2026 and 2027—and service-based vesting conditions following each of the performance periods. The performance-based vesting conditions are based 50% on the Company’s compound revenue growth for the applicable performance period and 50% on a comparison of the Company’s total shareholder return to the return of the Nasdaq Composite Index over the applicable performance period, and one-sixth of the total PSUs can be earned with respect to each performance goal for a performance period. If the Committee determines that a performance goal has been achieved for a performance period, the corresponding number of PSUs will vest on the vesting date (August 15, 2026, August 15, 2027, or August 15, 2028) that immediately follows the end of the applicable performance period, subject to the recipient’s continuous service through such date. If either performance goal is not achieved during one of the first two performance periods, but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achieved during the final performance period, any PSUs with respect to such performance goal that had not previously been earned based on performance will vest on the final vesting date, subject to the recipient’s continued service through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PSUs are subject to the terms and conditions set forth in the Plan and the form of restricted stock unit agreement thereunder.</w:t>
      </w:r>
    </w:p>
    <w:p>
      <w:pPr>
        <w:pStyle w:val="TextBody"/>
        <w:bidi w:val="0"/>
        <w:spacing w:before="240" w:after="283"/>
        <w:jc w:val="left"/>
        <w:rPr>
          <w:rFonts w:ascii="Times New Roman" w:hAnsi="Times New Roman"/>
          <w:sz w:val="20"/>
        </w:rPr>
      </w:pPr>
      <w:r>
        <w:rPr>
          <w:rFonts w:ascii="Times New Roman" w:hAnsi="Times New Roman"/>
          <w:b/>
          <w:i/>
          <w:color w:val="000000"/>
          <w:sz w:val="20"/>
        </w:rPr>
        <w:t>Disclosure of Trading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fiscal quarter ended June 30, 2025, none of our directors or officers (as defined in Rule 16a-1(f) under the Exchange Act) adopted or terminated a “Rule 10b5-1 trading arrangement” or a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282"/>
        <w:gridCol w:w="5743"/>
        <w:gridCol w:w="282"/>
        <w:gridCol w:w="523"/>
        <w:gridCol w:w="146"/>
        <w:gridCol w:w="737"/>
        <w:gridCol w:w="146"/>
        <w:gridCol w:w="643"/>
        <w:gridCol w:w="146"/>
        <w:gridCol w:w="740"/>
      </w:tblGrid>
      <w:tr>
        <w:trPr/>
        <w:tc>
          <w:tcPr>
            <w:tcW w:w="817"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5743"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shd w:fill="FFFFFF" w:val="cle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081"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8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2_1.htm">
              <w:r>
                <w:rPr>
                  <w:rStyle w:val="InternetLink"/>
                  <w:rFonts w:ascii="Times New Roman" w:hAnsi="Times New Roman"/>
                  <w:color w:val="0000FF"/>
                  <w:sz w:val="20"/>
                  <w:u w:val="single"/>
                </w:rPr>
                <w:t>Plan of Conversion.</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_1.htm">
              <w:r>
                <w:rPr>
                  <w:rStyle w:val="InternetLink"/>
                  <w:rFonts w:ascii="Times New Roman" w:hAnsi="Times New Roman"/>
                  <w:color w:val="0000FF"/>
                  <w:sz w:val="20"/>
                  <w:u w:val="single"/>
                </w:rPr>
                <w:t>Articles of Incorporation of the Registrant.</w:t>
              </w:r>
            </w:hyperlink>
            <w:hyperlink w:anchor="tem-ex3_1.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3.2*</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_2.htm">
              <w:r>
                <w:rPr>
                  <w:rStyle w:val="InternetLink"/>
                  <w:rFonts w:ascii="Times New Roman" w:hAnsi="Times New Roman"/>
                  <w:color w:val="0000FF"/>
                  <w:sz w:val="20"/>
                  <w:u w:val="single"/>
                </w:rPr>
                <w:t>Amended and Restated Bylaws of the Registrant.</w:t>
              </w:r>
            </w:hyperlink>
            <w:hyperlink w:anchor="tem-ex3_2.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4.1</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2">
              <w:r>
                <w:rPr>
                  <w:rStyle w:val="InternetLink"/>
                  <w:rFonts w:ascii="Times New Roman" w:hAnsi="Times New Roman"/>
                  <w:color w:val="0000FF"/>
                  <w:sz w:val="20"/>
                  <w:u w:val="single"/>
                </w:rPr>
                <w:t>Indenture, dated as of July 3, 2025, by and between Tempus AI, Inc. and U.S. Bank Trust Company, National Association, as Trustee.</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001-42130</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July 3, 2025</w:t>
            </w:r>
          </w:p>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4.2</w:t>
            </w:r>
          </w:p>
          <w:p>
            <w:pPr>
              <w:pStyle w:val="TableContents"/>
              <w:bidi w:val="0"/>
              <w:spacing w:before="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3">
              <w:r>
                <w:rPr>
                  <w:rStyle w:val="InternetLink"/>
                  <w:rFonts w:ascii="Times New Roman" w:hAnsi="Times New Roman"/>
                  <w:color w:val="0000FF"/>
                  <w:sz w:val="20"/>
                  <w:u w:val="single"/>
                </w:rPr>
                <w:t>Form of Global Note, representing Tempus AI, Inc.’s 0.75% Convertible Senior Notes due 2030 (included as Exhibit A to the Indenture filed as Exhibit 4.1).</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July 3, 2025</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4.3*</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hyperlink w:anchor="tem-ex4_3.htm">
              <w:r>
                <w:rPr>
                  <w:rStyle w:val="InternetLink"/>
                  <w:rFonts w:ascii="Times New Roman" w:hAnsi="Times New Roman"/>
                  <w:color w:val="0000FF"/>
                  <w:sz w:val="20"/>
                  <w:u w:val="single"/>
                </w:rPr>
                <w:t>Description of Registrant's Securities.</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4.4*</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hyperlink w:anchor="tem-ex4_4.htm">
              <w:r>
                <w:rPr>
                  <w:rStyle w:val="InternetLink"/>
                  <w:rFonts w:ascii="Times New Roman" w:hAnsi="Times New Roman"/>
                  <w:color w:val="0000FF"/>
                  <w:sz w:val="20"/>
                  <w:u w:val="single"/>
                </w:rPr>
                <w:t>Specimen Class A Common Stock Certificate.</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4.5*</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hyperlink w:anchor="tem-ex4_5.htm">
              <w:r>
                <w:rPr>
                  <w:rStyle w:val="InternetLink"/>
                  <w:rFonts w:ascii="Times New Roman" w:hAnsi="Times New Roman"/>
                  <w:color w:val="0000FF"/>
                  <w:sz w:val="20"/>
                  <w:u w:val="single"/>
                </w:rPr>
                <w:t>First Supplemental Indenture, dated as of August 7, 2025, by and between Tempus AI, Inc. and U.S. Bank Trust Company, National Association, as Trustee.</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10.1</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4">
              <w:r>
                <w:rPr>
                  <w:rStyle w:val="InternetLink"/>
                  <w:rFonts w:ascii="Times New Roman" w:hAnsi="Times New Roman"/>
                  <w:color w:val="0000FF"/>
                  <w:sz w:val="20"/>
                  <w:u w:val="single"/>
                </w:rPr>
                <w:t>Form of Confirmation for Capped Call Transactions.</w:t>
              </w:r>
            </w:hyperlink>
            <w:hyperlink r:id="rId5">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001-42130</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July 3, 2025</w:t>
            </w:r>
          </w:p>
          <w:p>
            <w:pPr>
              <w:pStyle w:val="TableContents"/>
              <w:bidi w:val="0"/>
              <w:spacing w:before="0" w:after="283"/>
              <w:jc w:val="center"/>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10.2</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6">
              <w:r>
                <w:rPr>
                  <w:rStyle w:val="InternetLink"/>
                  <w:rFonts w:ascii="Times New Roman" w:hAnsi="Times New Roman"/>
                  <w:color w:val="0000FF"/>
                  <w:sz w:val="20"/>
                  <w:u w:val="single"/>
                </w:rPr>
                <w:t>Fourth Amendment to Credit Agreement, by and among Tempus AI, Inc, the loan party signatories and lender party thereto, and Ares Capital Corporation as administrative agent, dated June 30, 2025.</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July 3, 2025</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color w:val="000000"/>
                <w:sz w:val="20"/>
              </w:rPr>
            </w:pPr>
            <w:r>
              <w:rPr>
                <w:rFonts w:ascii="Times New Roman" w:hAnsi="Times New Roman"/>
                <w:color w:val="000000"/>
                <w:sz w:val="20"/>
              </w:rPr>
              <w:t>10.3*#</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hyperlink w:anchor="tem-ex10_3.htm">
              <w:r>
                <w:rPr>
                  <w:rStyle w:val="InternetLink"/>
                  <w:rFonts w:ascii="Times New Roman" w:hAnsi="Times New Roman"/>
                  <w:color w:val="0000FF"/>
                  <w:sz w:val="20"/>
                  <w:u w:val="single"/>
                </w:rPr>
                <w:t>Controlled Equity Offering</w:t>
              </w:r>
            </w:hyperlink>
            <w:hyperlink w:anchor="tem-ex10_3.htm">
              <w:r>
                <w:rPr>
                  <w:rStyle w:val="InternetLink"/>
                  <w:rFonts w:ascii="Times New Roman" w:hAnsi="Times New Roman"/>
                  <w:color w:val="0000FF"/>
                  <w:sz w:val="13"/>
                  <w:u w:val="single"/>
                </w:rPr>
                <w:t>SM</w:t>
              </w:r>
            </w:hyperlink>
            <w:hyperlink w:anchor="tem-ex10_3.htm">
              <w:r>
                <w:rPr>
                  <w:rStyle w:val="InternetLink"/>
                  <w:rFonts w:ascii="Times New Roman" w:hAnsi="Times New Roman"/>
                  <w:color w:val="0000FF"/>
                  <w:sz w:val="20"/>
                  <w:u w:val="single"/>
                </w:rPr>
                <w:t xml:space="preserve"> Sales Agreement, by and among the Registrant and the Sales Agents party thereto, dated August 8, 2025.</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rFonts w:ascii="Times New Roman" w:hAnsi="Times New Roman"/>
                <w:sz w:val="20"/>
              </w:rPr>
            </w:pPr>
            <w:r>
              <w:rPr>
                <w:rFonts w:ascii="Times New Roman" w:hAnsi="Times New Roman"/>
                <w:color w:val="000000"/>
                <w:sz w:val="20"/>
              </w:rPr>
              <w:t>10.4</w:t>
            </w:r>
            <w:r>
              <w:rPr>
                <w:rFonts w:ascii="Times New Roman" w:hAnsi="Times New Roman"/>
                <w:color w:val="212529"/>
                <w:sz w:val="18"/>
              </w:rPr>
              <w:t></w:t>
            </w:r>
            <w:r>
              <w:rPr>
                <w:rFonts w:ascii="Times New Roman" w:hAnsi="Times New Roman"/>
                <w:color w:val="000000"/>
                <w:sz w:val="20"/>
              </w:rPr>
              <w:t>*</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hyperlink w:anchor="tem-ex10_4.htm">
              <w:r>
                <w:rPr>
                  <w:rStyle w:val="InternetLink"/>
                  <w:rFonts w:ascii="Times New Roman" w:hAnsi="Times New Roman"/>
                  <w:color w:val="0000FF"/>
                  <w:sz w:val="20"/>
                  <w:u w:val="single"/>
                </w:rPr>
                <w:t>Form of Indemnification Agreement entered into by and between the Registrant and each director and executive officer.</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tem-ex31_1.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31.2*</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2.htm">
              <w:r>
                <w:rPr>
                  <w:rStyle w:val="InternetLink"/>
                  <w:rFonts w:ascii="Times New Roman" w:hAnsi="Times New Roman"/>
                  <w:color w:val="0000FF"/>
                  <w:sz w:val="20"/>
                  <w:u w:val="single"/>
                </w:rPr>
                <w:t>Certification of Principal Financial Officer pursuant to Section 302 of the Sarbanes-Oxley Act of 2002.</w:t>
              </w:r>
            </w:hyperlink>
            <w:hyperlink w:anchor="tem-ex31_2.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101.INS*</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101.SCH*</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104*</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743"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529"/>
          <w:sz w:val="18"/>
        </w:rPr>
        <w:t></w:t>
      </w:r>
      <w:r>
        <w:rPr>
          <w:rFonts w:ascii="Times New Roman" w:hAnsi="Times New Roman"/>
          <w:color w:val="000000"/>
          <w:sz w:val="20"/>
        </w:rPr>
        <w:t xml:space="preserve">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Certain schedules and exhibits to this exhibit have been omitted pursuant to Item 601(a)(5) of Regulation S-K. A copy of any omitted schedule and/or exhibit will be furnished to the Securities and Exchange Commission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419" w:type="dxa"/>
        <w:jc w:val="left"/>
        <w:tblInd w:w="0" w:type="dxa"/>
        <w:tblLayout w:type="fixed"/>
        <w:tblCellMar>
          <w:top w:w="28" w:type="dxa"/>
          <w:left w:w="28" w:type="dxa"/>
          <w:bottom w:w="28" w:type="dxa"/>
          <w:right w:w="28" w:type="dxa"/>
        </w:tblCellMar>
      </w:tblPr>
      <w:tblGrid>
        <w:gridCol w:w="1846"/>
        <w:gridCol w:w="146"/>
        <w:gridCol w:w="406"/>
        <w:gridCol w:w="402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TEMPUS AI,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Rogers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1" w:name="tem-ex2_1.htm"/>
      <w:bookmarkStart w:id="22" w:name="kstemex2_1"/>
      <w:bookmarkEnd w:id="21"/>
      <w:bookmarkEnd w:id="22"/>
      <w:r>
        <w:rPr>
          <w:rFonts w:ascii="Times New Roman" w:hAnsi="Times New Roman"/>
          <w:color w:val="000000"/>
          <w:sz w:val="24"/>
        </w:rPr>
        <w:t>Exhibit 2.1</w:t>
      </w:r>
      <w:r>
        <w:br w:type="page"/>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TEMPUS AI, INC.</w:t>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PLAN OF CONVERSION</w:t>
      </w:r>
    </w:p>
    <w:p>
      <w:pPr>
        <w:pStyle w:val="TextBody"/>
        <w:bidi w:val="0"/>
        <w:spacing w:before="0" w:after="240"/>
        <w:jc w:val="both"/>
        <w:rPr>
          <w:rFonts w:ascii="Times New Roman" w:hAnsi="Times New Roman"/>
          <w:sz w:val="20"/>
        </w:rPr>
      </w:pPr>
      <w:r>
        <w:rPr>
          <w:rFonts w:ascii="Times New Roman" w:hAnsi="Times New Roman"/>
          <w:color w:val="000000"/>
          <w:sz w:val="24"/>
        </w:rPr>
        <w:t>This Plan of Conversion (this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is adopted as of August 7, 2025, and sets forth certain terms of the conversion of Tempus AI, Inc., a Delaware corporation (the “</w:t>
      </w:r>
      <w:r>
        <w:rPr>
          <w:rFonts w:ascii="Times New Roman" w:hAnsi="Times New Roman"/>
          <w:color w:val="000000"/>
          <w:sz w:val="24"/>
          <w:u w:val="single"/>
        </w:rPr>
        <w:t>Delaware Corporation</w:t>
      </w:r>
      <w:r>
        <w:rPr>
          <w:rFonts w:ascii="Times New Roman" w:hAnsi="Times New Roman"/>
          <w:color w:val="000000"/>
          <w:sz w:val="20"/>
        </w:rPr>
        <w:t>”</w:t>
      </w:r>
      <w:r>
        <w:rPr>
          <w:rFonts w:ascii="Times New Roman" w:hAnsi="Times New Roman"/>
          <w:color w:val="000000"/>
          <w:sz w:val="24"/>
        </w:rPr>
        <w:t>), to a Nevada corporation (the “</w:t>
      </w:r>
      <w:r>
        <w:rPr>
          <w:rFonts w:ascii="Times New Roman" w:hAnsi="Times New Roman"/>
          <w:color w:val="000000"/>
          <w:sz w:val="24"/>
          <w:u w:val="single"/>
        </w:rPr>
        <w:t>Nevada Corporation</w:t>
      </w:r>
      <w:r>
        <w:rPr>
          <w:rFonts w:ascii="Times New Roman" w:hAnsi="Times New Roman"/>
          <w:color w:val="000000"/>
          <w:sz w:val="20"/>
        </w:rPr>
        <w:t>”</w:t>
      </w:r>
      <w:r>
        <w:rPr>
          <w:rFonts w:ascii="Times New Roman" w:hAnsi="Times New Roman"/>
          <w:color w:val="000000"/>
          <w:sz w:val="24"/>
        </w:rPr>
        <w:t>), pursuant to the terms of the General Corporation Law of the State of Delaware (as amended, the “</w:t>
      </w:r>
      <w:r>
        <w:rPr>
          <w:rFonts w:ascii="Times New Roman" w:hAnsi="Times New Roman"/>
          <w:color w:val="000000"/>
          <w:sz w:val="24"/>
          <w:u w:val="single"/>
        </w:rPr>
        <w:t>DGCL</w:t>
      </w:r>
      <w:r>
        <w:rPr>
          <w:rFonts w:ascii="Times New Roman" w:hAnsi="Times New Roman"/>
          <w:color w:val="000000"/>
          <w:sz w:val="20"/>
        </w:rPr>
        <w:t>”</w:t>
      </w:r>
      <w:r>
        <w:rPr>
          <w:rFonts w:ascii="Times New Roman" w:hAnsi="Times New Roman"/>
          <w:color w:val="000000"/>
          <w:sz w:val="24"/>
        </w:rPr>
        <w:t>) and Chapters 78 and 92A of the Nevada Revised Statutes (as amended, the “</w:t>
      </w:r>
      <w:r>
        <w:rPr>
          <w:rFonts w:ascii="Times New Roman" w:hAnsi="Times New Roman"/>
          <w:color w:val="000000"/>
          <w:sz w:val="24"/>
          <w:u w:val="single"/>
        </w:rPr>
        <w:t>NRS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WITNESSETH:</w:t>
      </w:r>
    </w:p>
    <w:p>
      <w:pPr>
        <w:pStyle w:val="TextBody"/>
        <w:bidi w:val="0"/>
        <w:spacing w:before="0" w:after="240"/>
        <w:jc w:val="both"/>
        <w:rPr>
          <w:rFonts w:ascii="Times New Roman" w:hAnsi="Times New Roman"/>
          <w:sz w:val="20"/>
        </w:rPr>
      </w:pPr>
      <w:r>
        <w:rPr>
          <w:rFonts w:ascii="Times New Roman" w:hAnsi="Times New Roman"/>
          <w:color w:val="000000"/>
          <w:sz w:val="24"/>
        </w:rPr>
        <w:t>WHEREAS, the Delaware Corporation was incorporated on September 21, 2015 under the name Bioin, Inc.;</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upon the terms and subject to the conditions set forth in this Plan, and in accordance with Section 266 of the DGCL and NRS 92A.195, the Delaware Corporation will be converted to a Nevada Corporation;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of the Delaware Corporation has unanimously (i) determined that the Conversion (as defined below) is advisable and in the best interests of the Delaware Corporation and its stockholders and recommended the approval of the Conversion by the stockholders of the Delaware Corporation and (ii) approved and adopted this Plan, the Conversion, and the other documents and transactions contemplated by this Plan, including the Nevada Corporation Governing Documents, the Delaware Certificate of Conversion and the Nevada Articles of Conversion (as each is defined below);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stockholders of the Delaware Corporation have approved and adopted this Plan, the Conversion, and the other documents and transactions contemplated by this Plan, including the Nevada Corporation Governing Documents (as defined below), the Delaware Certificate of Conversion and the Nevada Articles of Conversion; and</w:t>
      </w:r>
    </w:p>
    <w:p>
      <w:pPr>
        <w:pStyle w:val="TextBody"/>
        <w:bidi w:val="0"/>
        <w:spacing w:before="0" w:after="240"/>
        <w:jc w:val="both"/>
        <w:rPr>
          <w:rFonts w:ascii="Times New Roman" w:hAnsi="Times New Roman"/>
          <w:sz w:val="20"/>
        </w:rPr>
      </w:pPr>
      <w:r>
        <w:rPr>
          <w:rFonts w:ascii="Times New Roman" w:hAnsi="Times New Roman"/>
          <w:color w:val="000000"/>
          <w:sz w:val="24"/>
        </w:rPr>
        <w:t>WHEREAS, in connection with the Conversion, at the Effective Time (as hereinafter defined), each share of Class A Common Stock, par value $0.0001 per share (“</w:t>
      </w:r>
      <w:r>
        <w:rPr>
          <w:rFonts w:ascii="Times New Roman" w:hAnsi="Times New Roman"/>
          <w:color w:val="000000"/>
          <w:sz w:val="24"/>
          <w:u w:val="single"/>
        </w:rPr>
        <w:t>Delaware Class A Common Stock</w:t>
      </w:r>
      <w:r>
        <w:rPr>
          <w:rFonts w:ascii="Times New Roman" w:hAnsi="Times New Roman"/>
          <w:color w:val="000000"/>
          <w:sz w:val="20"/>
        </w:rPr>
        <w:t>”</w:t>
      </w:r>
      <w:r>
        <w:rPr>
          <w:rFonts w:ascii="Times New Roman" w:hAnsi="Times New Roman"/>
          <w:color w:val="000000"/>
          <w:sz w:val="24"/>
        </w:rPr>
        <w:t>), and each share of Class B Common Stock, par value $0.0001 per share (“</w:t>
      </w:r>
      <w:r>
        <w:rPr>
          <w:rFonts w:ascii="Times New Roman" w:hAnsi="Times New Roman"/>
          <w:color w:val="000000"/>
          <w:sz w:val="24"/>
          <w:u w:val="single"/>
        </w:rPr>
        <w:t>Delaware Class B Common Stock</w:t>
      </w:r>
      <w:r>
        <w:rPr>
          <w:rFonts w:ascii="Times New Roman" w:hAnsi="Times New Roman"/>
          <w:color w:val="000000"/>
          <w:sz w:val="20"/>
        </w:rPr>
        <w:t>”</w:t>
      </w:r>
      <w:r>
        <w:rPr>
          <w:rFonts w:ascii="Times New Roman" w:hAnsi="Times New Roman"/>
          <w:color w:val="000000"/>
          <w:sz w:val="24"/>
        </w:rPr>
        <w:t>), of the Delaware Corporation issued and outstanding immediately prior to the Effective Time shall be converted into one share of Class A Common Stock, par value $0.0001 per share (“</w:t>
      </w:r>
      <w:r>
        <w:rPr>
          <w:rFonts w:ascii="Times New Roman" w:hAnsi="Times New Roman"/>
          <w:color w:val="000000"/>
          <w:sz w:val="24"/>
          <w:u w:val="single"/>
        </w:rPr>
        <w:t>Nevada Class A Common Stock</w:t>
      </w:r>
      <w:r>
        <w:rPr>
          <w:rFonts w:ascii="Times New Roman" w:hAnsi="Times New Roman"/>
          <w:color w:val="000000"/>
          <w:sz w:val="20"/>
        </w:rPr>
        <w:t>”</w:t>
      </w:r>
      <w:r>
        <w:rPr>
          <w:rFonts w:ascii="Times New Roman" w:hAnsi="Times New Roman"/>
          <w:color w:val="000000"/>
          <w:sz w:val="24"/>
        </w:rPr>
        <w:t>), and one share of Class B Common Stock, par value $0.0001 per share (“</w:t>
      </w:r>
      <w:r>
        <w:rPr>
          <w:rFonts w:ascii="Times New Roman" w:hAnsi="Times New Roman"/>
          <w:color w:val="000000"/>
          <w:sz w:val="24"/>
          <w:u w:val="single"/>
        </w:rPr>
        <w:t>Nevada Class B Common Stock</w:t>
      </w:r>
      <w:r>
        <w:rPr>
          <w:rFonts w:ascii="Times New Roman" w:hAnsi="Times New Roman"/>
          <w:color w:val="000000"/>
          <w:sz w:val="20"/>
        </w:rPr>
        <w:t>”</w:t>
      </w:r>
      <w:r>
        <w:rPr>
          <w:rFonts w:ascii="Times New Roman" w:hAnsi="Times New Roman"/>
          <w:color w:val="000000"/>
          <w:sz w:val="24"/>
        </w:rPr>
        <w:t>), of the Nevada Corporation, respectively.</w:t>
      </w:r>
    </w:p>
    <w:p>
      <w:pPr>
        <w:pStyle w:val="TextBody"/>
        <w:bidi w:val="0"/>
        <w:spacing w:before="0" w:after="240"/>
        <w:jc w:val="both"/>
        <w:rPr>
          <w:rFonts w:ascii="Times New Roman" w:hAnsi="Times New Roman"/>
          <w:sz w:val="20"/>
        </w:rPr>
      </w:pPr>
      <w:r>
        <w:rPr>
          <w:rFonts w:ascii="Times New Roman" w:hAnsi="Times New Roman"/>
          <w:color w:val="000000"/>
          <w:sz w:val="24"/>
        </w:rPr>
        <w:t>The mode of carrying out the Conversion into effect shall be as described in this Plan.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THE CONVERSION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Conversion</w:t>
      </w:r>
      <w:r>
        <w:rPr>
          <w:rFonts w:ascii="Times New Roman" w:hAnsi="Times New Roman"/>
          <w:color w:val="000000"/>
          <w:sz w:val="24"/>
        </w:rPr>
        <w:t>. At the Effective Time (as hereinafter defined), the Delaware Corporation will be converted to the Nevada Corporation, pursuant to, and in accordance with, Section 266 of the DGCL and NRS 92A.195 (the “</w:t>
      </w:r>
      <w:r>
        <w:rPr>
          <w:rFonts w:ascii="Times New Roman" w:hAnsi="Times New Roman"/>
          <w:color w:val="000000"/>
          <w:sz w:val="24"/>
          <w:u w:val="single"/>
        </w:rPr>
        <w:t>Conversion</w:t>
      </w:r>
      <w:r>
        <w:rPr>
          <w:color w:val="000000"/>
        </w:rPr>
        <w:t>”</w:t>
      </w:r>
      <w:r>
        <w:rPr>
          <w:rFonts w:ascii="Times New Roman" w:hAnsi="Times New Roman"/>
          <w:color w:val="000000"/>
          <w:sz w:val="24"/>
        </w:rPr>
        <w:t xml:space="preserve">), whereupon the Delaware Corporation will continue its existence in the organizational form of the Nevada Corporation, which will be subject to the laws of the State of Nevada. The Board and the stockholders of the Delaware Corporation have approved and adopted this Plan, the Conversion, and the other documents and transactions contemplated by this Plan, including the Nevada Corporation Governing Documents, the Delaware Certificate of Conversion and the Nevada Articles of Conversion.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Certificate of Conversion</w:t>
      </w:r>
      <w:r>
        <w:rPr>
          <w:rFonts w:ascii="Times New Roman" w:hAnsi="Times New Roman"/>
          <w:color w:val="000000"/>
          <w:sz w:val="24"/>
        </w:rPr>
        <w:t xml:space="preserve">. The Delaware Corporation shall file a certificate of conversion in the form attached hereto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 “</w:t>
      </w:r>
      <w:r>
        <w:rPr>
          <w:rFonts w:ascii="Times New Roman" w:hAnsi="Times New Roman"/>
          <w:color w:val="000000"/>
          <w:sz w:val="24"/>
          <w:u w:val="single"/>
        </w:rPr>
        <w:t>Delaware Certificate of Conversion</w:t>
      </w:r>
      <w:r>
        <w:rPr>
          <w:color w:val="000000"/>
        </w:rPr>
        <w:t>”</w:t>
      </w:r>
      <w:r>
        <w:rPr>
          <w:rFonts w:ascii="Times New Roman" w:hAnsi="Times New Roman"/>
          <w:color w:val="000000"/>
          <w:sz w:val="24"/>
        </w:rPr>
        <w:t>) with the Secretary of State of the State of Delaware (the “</w:t>
      </w:r>
      <w:r>
        <w:rPr>
          <w:rFonts w:ascii="Times New Roman" w:hAnsi="Times New Roman"/>
          <w:color w:val="000000"/>
          <w:sz w:val="24"/>
          <w:u w:val="single"/>
        </w:rPr>
        <w:t>Delaware Secretary of State</w:t>
      </w:r>
      <w:r>
        <w:rPr>
          <w:color w:val="000000"/>
        </w:rPr>
        <w:t>”</w:t>
      </w:r>
      <w:r>
        <w:rPr>
          <w:rFonts w:ascii="Times New Roman" w:hAnsi="Times New Roman"/>
          <w:color w:val="000000"/>
          <w:sz w:val="24"/>
        </w:rPr>
        <w:t xml:space="preserve">) and shall file articles of conversion in the form attached hereto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(the “</w:t>
      </w:r>
      <w:r>
        <w:rPr>
          <w:rFonts w:ascii="Times New Roman" w:hAnsi="Times New Roman"/>
          <w:color w:val="000000"/>
          <w:sz w:val="24"/>
          <w:u w:val="single"/>
        </w:rPr>
        <w:t>Nevada Articles of Conversion</w:t>
      </w:r>
      <w:r>
        <w:rPr>
          <w:color w:val="000000"/>
        </w:rPr>
        <w:t>”</w:t>
      </w:r>
      <w:r>
        <w:rPr>
          <w:rFonts w:ascii="Times New Roman" w:hAnsi="Times New Roman"/>
          <w:color w:val="000000"/>
          <w:sz w:val="24"/>
        </w:rPr>
        <w:t xml:space="preserve">) and articles of incorporation in the form attached hereto as </w:t>
      </w:r>
      <w:r>
        <w:rPr>
          <w:rFonts w:ascii="Times New Roman" w:hAnsi="Times New Roman"/>
          <w:color w:val="000000"/>
          <w:sz w:val="24"/>
          <w:u w:val="single"/>
        </w:rPr>
        <w:t>Exhibit C</w:t>
      </w:r>
      <w:r>
        <w:rPr>
          <w:color w:val="000000"/>
        </w:rPr>
        <w:t xml:space="preserve"> </w:t>
      </w:r>
      <w:r>
        <w:rPr>
          <w:rFonts w:ascii="Times New Roman" w:hAnsi="Times New Roman"/>
          <w:color w:val="000000"/>
          <w:sz w:val="24"/>
        </w:rPr>
        <w:t>(the “</w:t>
      </w:r>
      <w:r>
        <w:rPr>
          <w:rFonts w:ascii="Times New Roman" w:hAnsi="Times New Roman"/>
          <w:color w:val="000000"/>
          <w:sz w:val="24"/>
          <w:u w:val="single"/>
        </w:rPr>
        <w:t>Nevada Articles of Incorporation</w:t>
      </w:r>
      <w:r>
        <w:rPr>
          <w:color w:val="000000"/>
        </w:rPr>
        <w:t>”</w:t>
      </w:r>
      <w:r>
        <w:rPr>
          <w:rFonts w:ascii="Times New Roman" w:hAnsi="Times New Roman"/>
          <w:color w:val="000000"/>
          <w:sz w:val="24"/>
        </w:rPr>
        <w:t>) with the Nevada Secretary of State (the “</w:t>
      </w:r>
      <w:r>
        <w:rPr>
          <w:rFonts w:ascii="Times New Roman" w:hAnsi="Times New Roman"/>
          <w:color w:val="000000"/>
          <w:sz w:val="24"/>
          <w:u w:val="single"/>
        </w:rPr>
        <w:t>Nevada Secretary of State</w:t>
      </w:r>
      <w:r>
        <w:rPr>
          <w:color w:val="000000"/>
        </w:rPr>
        <w:t>”</w:t>
      </w:r>
      <w:r>
        <w:rPr>
          <w:rFonts w:ascii="Times New Roman" w:hAnsi="Times New Roman"/>
          <w:color w:val="000000"/>
          <w:sz w:val="24"/>
        </w:rPr>
        <w:t xml:space="preserve">), and the Delaware Corporation or the Nevada Corporation, as applicable, shall make all other filings or recordings required by the DGCL or the NRS in connection with the Conversion.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Effective Time</w:t>
      </w:r>
      <w:r>
        <w:rPr>
          <w:rFonts w:ascii="Times New Roman" w:hAnsi="Times New Roman"/>
          <w:color w:val="000000"/>
          <w:sz w:val="24"/>
        </w:rPr>
        <w:t>. The Conversion will become effective upon the filing of the Delaware Certificate of Conversion with the Delaware Secretary of State and the filing of the Nevada Articles of Conversion and the Nevada Articles of Incorporation with the Nevada Secretary of State, or at such a later time as specified in the Delaware Certificate of Conversion and the Nevada Articles of Conversion (the “</w:t>
      </w:r>
      <w:r>
        <w:rPr>
          <w:rFonts w:ascii="Times New Roman" w:hAnsi="Times New Roman"/>
          <w:color w:val="000000"/>
          <w:sz w:val="24"/>
          <w:u w:val="single"/>
        </w:rPr>
        <w:t>Effective Time</w:t>
      </w:r>
      <w:r>
        <w:rPr>
          <w:color w:val="000000"/>
        </w:rPr>
        <w:t>”</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Nevada Governing Documents</w:t>
      </w:r>
      <w:r>
        <w:rPr>
          <w:rFonts w:ascii="Times New Roman" w:hAnsi="Times New Roman"/>
          <w:color w:val="000000"/>
          <w:sz w:val="24"/>
        </w:rPr>
        <w:t xml:space="preserve">. At the Effective Time, the Nevada Articles of Incorporation and the Bylaws of the Nevada Corporation in the form attached hereto as </w:t>
      </w:r>
      <w:r>
        <w:rPr>
          <w:rFonts w:ascii="Times New Roman" w:hAnsi="Times New Roman"/>
          <w:color w:val="000000"/>
          <w:sz w:val="24"/>
          <w:u w:val="single"/>
        </w:rPr>
        <w:t>Exhibit D</w:t>
      </w:r>
      <w:r>
        <w:rPr>
          <w:color w:val="000000"/>
        </w:rPr>
        <w:t xml:space="preserve"> </w:t>
      </w:r>
      <w:r>
        <w:rPr>
          <w:rFonts w:ascii="Times New Roman" w:hAnsi="Times New Roman"/>
          <w:color w:val="000000"/>
          <w:sz w:val="24"/>
        </w:rPr>
        <w:t>(together with the Nevada Articles of Incorporation, the “</w:t>
      </w:r>
      <w:r>
        <w:rPr>
          <w:rFonts w:ascii="Times New Roman" w:hAnsi="Times New Roman"/>
          <w:color w:val="000000"/>
          <w:sz w:val="24"/>
          <w:u w:val="single"/>
        </w:rPr>
        <w:t>Nevada Corporation Governing Documents</w:t>
      </w:r>
      <w:r>
        <w:rPr>
          <w:color w:val="000000"/>
        </w:rPr>
        <w:t>”</w:t>
      </w:r>
      <w:r>
        <w:rPr>
          <w:rFonts w:ascii="Times New Roman" w:hAnsi="Times New Roman"/>
          <w:color w:val="000000"/>
          <w:sz w:val="24"/>
        </w:rPr>
        <w:t>), shall govern the Nevada Corporation until amended and/or restated in accordance with the Nevada Governing Documents and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Directors and Officers</w:t>
      </w:r>
      <w:r>
        <w:rPr>
          <w:rFonts w:ascii="Times New Roman" w:hAnsi="Times New Roman"/>
          <w:color w:val="000000"/>
          <w:sz w:val="24"/>
        </w:rPr>
        <w:t xml:space="preserve">. At the Effective Time, by virtue of the Conversion and without any further action on the part of the Delaware Corporation or its stockholders, (i) the members of the Board of the Delaware Corporation as of immediately prior to the Effective Time shall continue as, and constitute all of, the members of the Board of the Nevada Corporation, (ii) the chairperson of the Board of the Delaware Corporation as of immediately prior to the Effective Time shall be the chairperson of the Board of the Nevada Corporation, to serve at the pleasure of the Board of the Nevada Corporation, (iii) each committee of the Board of the Delaware Corporation existing immediately prior to the Effective Time shall continue as a committee of the Board of the Nevada Corporation, on the same terms and with the same powers and authority as the applicable committee of the Board of the Delaware Corporation as of immediately prior to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Effective Time, and the members of each committee of the Board of the Delaware Corporation as of immediately prior to the Effective Time shall be the members of each such committee of the Board of the Nevada Corporation, each to serve at the pleasure of the Board of the Nevada Corporation, and (iv) the officers of the Delaware Corporation holding their respective offices in the Delaware Corporation as of immediately prior to the Effective Time shall continue in their respective offices as officers of the Nevada Corporation.</w:t>
      </w:r>
      <w:r>
        <w:rPr>
          <w:color w:val="00000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EFFECT OF THE CONVERSION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color w:val="000000"/>
          <w:sz w:val="24"/>
          <w:u w:val="single"/>
        </w:rPr>
        <w:t>Effect of Conversion</w:t>
      </w:r>
      <w:r>
        <w:rPr>
          <w:rFonts w:ascii="Times New Roman" w:hAnsi="Times New Roman"/>
          <w:color w:val="000000"/>
          <w:sz w:val="24"/>
        </w:rPr>
        <w:t>. At the Effective Time, the effect of the Conversion will be as provided by this Plan and by the applicable provisions of the DGCL and the NRS. Without limitation of the foregoing, for all purposes of the laws of the States of Delaware and Nevada, all of the rights, privileges, and powers of the Delaware Corporation, and all property, real, personal, and mixed, and all debts due to the Delaware Corporation, as well as all other things and causes of action belonging to the Delaware Corporation, shall remain vested in the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color w:val="000000"/>
          <w:sz w:val="24"/>
          <w:u w:val="single"/>
        </w:rPr>
        <w:t>Conversion of Shares</w:t>
      </w:r>
      <w:r>
        <w:rPr>
          <w:rFonts w:ascii="Times New Roman" w:hAnsi="Times New Roman"/>
          <w:color w:val="000000"/>
          <w:sz w:val="24"/>
        </w:rPr>
        <w:t>. At the Effective Time, by virtue of the Conversion and without any further action by the Delaware Corporation or its stockholders, (i) each share of Delaware Class A Common Stock issued and outstanding immediately before the Effective Time shall be converted into one share of Nevada Class A Common Stock, and all options, restricted stock units, warrants or other entitlements to receive a share of Delaware Class A Common Stock, whether vested or unvested, shall automatically be converted into an option, restricted stock unit, warrant or other entitlement to receive a share of Nevada Class A Common Stock, if applicable, with the same exercise or purchase price per share, and shall, to the extent permitted by law and otherwise reasonably practicable, have the same term, exercisability, vesting schedule, status and all other terms and conditions of the applicable option, restricted stock unit, warrant or other entitlement to receive shares, immediately prior to the Effective Time, and (ii) each share of Delaware Class B Common Stock issued and outstanding immediately before the Effective Time shall be converted into one share of Nevada Class B Common Stock, and all options, restricted stock units, warrants or other entitlement to receive a share of Delaware Class B Common Stock, whether vested or unvested, shall automatically be converted into an option, restricted stock unit, warrant or other entitlement to receive a share of Nevada Class B Common Stock, if applicable, with the same exercise or purchase price per share, and shall, to the extent permitted by law and otherwise reasonably practicable, have the same term, exercisability, vesting schedule, status and all other terms and conditions of the applicable option, restricted stock unit, warrant or other entitlement to receive shares, immediately prior to the Effective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rFonts w:ascii="Times New Roman" w:hAnsi="Times New Roman"/>
          <w:color w:val="000000"/>
          <w:sz w:val="24"/>
          <w:u w:val="single"/>
        </w:rPr>
        <w:t>Effect on Employee Benefit, Equity Incentive or Other Similar Plans</w:t>
      </w:r>
      <w:r>
        <w:rPr>
          <w:rFonts w:ascii="Times New Roman" w:hAnsi="Times New Roman"/>
          <w:color w:val="000000"/>
          <w:sz w:val="24"/>
        </w:rPr>
        <w:t xml:space="preserve">. Upon the Effective Time, by virtue of the Conversion and without any further action by the Delaware Corporation or its stockholders, each employee benefit plan, equity incentive plan or other similar plan to which the Delaware Corporation is a party shall continue to be a plan of the Nevada Corporation. To the extent that any such plan provides for the issuance of Delaware Common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upon the Effective Time, such plan shall be deemed to provide for the issuance of Nevada Common Stock.</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IV</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color w:val="000000"/>
          <w:sz w:val="24"/>
          <w:u w:val="single"/>
        </w:rPr>
        <w:t>Abandonment or Amendment</w:t>
      </w:r>
      <w:r>
        <w:rPr>
          <w:rFonts w:ascii="Times New Roman" w:hAnsi="Times New Roman"/>
          <w:color w:val="000000"/>
          <w:sz w:val="24"/>
        </w:rPr>
        <w:t xml:space="preserve">. At any time prior to the filing of the Delaware Certificate of Conversion with the Delaware Secretary of State, the Board, or any duly authorized committee thereof, may abandon the proposed Conversion and terminate this Plan to the extent permitted by law or may amend this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color w:val="000000"/>
          <w:sz w:val="24"/>
          <w:u w:val="single"/>
        </w:rPr>
        <w:t>Captions</w:t>
      </w:r>
      <w:r>
        <w:rPr>
          <w:rFonts w:ascii="Times New Roman" w:hAnsi="Times New Roman"/>
          <w:color w:val="000000"/>
          <w:sz w:val="24"/>
        </w:rPr>
        <w:t xml:space="preserve">. The captions in this Plan are for convenience only and shall not be considered a part, or to affect the construction or interpretation, of any provision of this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color w:val="000000"/>
          <w:sz w:val="24"/>
          <w:u w:val="single"/>
        </w:rPr>
        <w:t>Tax Reporting</w:t>
      </w:r>
      <w:r>
        <w:rPr>
          <w:rFonts w:ascii="Times New Roman" w:hAnsi="Times New Roman"/>
          <w:color w:val="000000"/>
          <w:sz w:val="24"/>
        </w:rPr>
        <w:t>. The Conversion is intended to be a “reorganization” for purposes of Section 368(a) of 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(and any similar provision of state or local law), and this Plan is hereby adopted as a “plan of reorganization” for purposes of the Section 368(a)(1)(F)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Plan shall be governed by, and construed and interpreted in accordance with, the laws of the State of Delaware.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rFonts w:ascii="Times New Roman" w:hAnsi="Times New Roman"/>
          <w:color w:val="000000"/>
          <w:sz w:val="24"/>
          <w:u w:val="single"/>
        </w:rPr>
        <w:t>Record of Conversion.</w:t>
      </w:r>
      <w:r>
        <w:rPr>
          <w:color w:val="000000"/>
        </w:rPr>
        <w:t xml:space="preserve"> </w:t>
      </w:r>
      <w:r>
        <w:rPr>
          <w:rFonts w:ascii="Times New Roman" w:hAnsi="Times New Roman"/>
          <w:color w:val="000000"/>
          <w:sz w:val="24"/>
        </w:rPr>
        <w:t>A copy of this Plan will be kept at the principal place of business of the Nevada Corporation and, upon the request of any stockholder of the Delaware Corporation, a copy of this Plan shall promptly be delivered to such stockholder.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Plan of Conversion has been adopted by the Board of Directors as of the date set forth above.</w:t>
      </w:r>
    </w:p>
    <w:tbl>
      <w:tblPr>
        <w:tblW w:w="6995" w:type="dxa"/>
        <w:jc w:val="left"/>
        <w:tblInd w:w="0" w:type="dxa"/>
        <w:tblLayout w:type="fixed"/>
        <w:tblCellMar>
          <w:top w:w="28" w:type="dxa"/>
          <w:left w:w="28" w:type="dxa"/>
          <w:bottom w:w="28" w:type="dxa"/>
          <w:right w:w="28" w:type="dxa"/>
        </w:tblCellMar>
      </w:tblPr>
      <w:tblGrid>
        <w:gridCol w:w="161"/>
        <w:gridCol w:w="436"/>
        <w:gridCol w:w="146"/>
        <w:gridCol w:w="146"/>
        <w:gridCol w:w="6106"/>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80" w:after="283"/>
              <w:jc w:val="left"/>
              <w:rPr/>
            </w:pPr>
            <w:r>
              <w:rPr/>
              <w:t> </w:t>
            </w:r>
          </w:p>
        </w:tc>
        <w:tc>
          <w:tcPr>
            <w:tcW w:w="6834" w:type="dxa"/>
            <w:gridSpan w:val="4"/>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2"/>
              </w:rPr>
            </w:pPr>
            <w:r>
              <w:rPr>
                <w:rFonts w:ascii="Times New Roman" w:hAnsi="Times New Roman"/>
                <w:b/>
                <w:color w:val="000000"/>
                <w:sz w:val="22"/>
              </w:rPr>
              <w:t>Tempus AI, Inc.</w:t>
            </w:r>
          </w:p>
        </w:tc>
      </w:tr>
      <w:tr>
        <w:trPr/>
        <w:tc>
          <w:tcPr>
            <w:tcW w:w="161" w:type="dxa"/>
            <w:tcBorders/>
            <w:tcMar>
              <w:top w:w="0" w:type="dxa"/>
              <w:left w:w="0" w:type="dxa"/>
              <w:bottom w:w="0" w:type="dxa"/>
              <w:right w:w="0" w:type="dxa"/>
            </w:tcMar>
            <w:vAlign w:val="center"/>
          </w:tcPr>
          <w:p>
            <w:pPr>
              <w:pStyle w:val="TableContents"/>
              <w:bidi w:val="0"/>
              <w:spacing w:before="80" w:after="283"/>
              <w:jc w:val="left"/>
              <w:rPr/>
            </w:pPr>
            <w:r>
              <w:rPr/>
              <w:t> </w:t>
            </w:r>
          </w:p>
        </w:tc>
        <w:tc>
          <w:tcPr>
            <w:tcW w:w="43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6106"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0" w:after="283"/>
              <w:jc w:val="left"/>
              <w:rPr/>
            </w:pPr>
            <w:r>
              <w:rPr/>
              <w:t> </w:t>
            </w:r>
          </w:p>
        </w:tc>
        <w:tc>
          <w:tcPr>
            <w:tcW w:w="43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2"/>
              </w:rPr>
            </w:pPr>
            <w:r>
              <w:rPr>
                <w:rFonts w:ascii="Times New Roman" w:hAnsi="Times New Roman"/>
                <w:color w:val="000000"/>
                <w:sz w:val="22"/>
              </w:rPr>
              <w:t>By:</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6106" w:type="dxa"/>
            <w:tcBorders>
              <w:bottom w:val="single" w:sz="8" w:space="0" w:color="000000"/>
            </w:tcBorders>
            <w:tcMar>
              <w:top w:w="0" w:type="dxa"/>
              <w:left w:w="0" w:type="dxa"/>
              <w:bottom w:w="43" w:type="dxa"/>
              <w:right w:w="0" w:type="dxa"/>
            </w:tcMar>
            <w:vAlign w:val="center"/>
          </w:tcPr>
          <w:p>
            <w:pPr>
              <w:pStyle w:val="TableContents"/>
              <w:bidi w:val="0"/>
              <w:spacing w:before="80" w:after="283"/>
              <w:jc w:val="left"/>
              <w:rPr>
                <w:rFonts w:ascii="Times New Roman" w:hAnsi="Times New Roman"/>
                <w:color w:val="000000"/>
                <w:sz w:val="22"/>
              </w:rPr>
            </w:pPr>
            <w:r>
              <w:rPr>
                <w:rFonts w:ascii="Times New Roman" w:hAnsi="Times New Roman"/>
                <w:color w:val="000000"/>
                <w:sz w:val="22"/>
              </w:rPr>
              <w:t>/s/ Andrew Polovin</w:t>
            </w:r>
          </w:p>
        </w:tc>
      </w:tr>
      <w:tr>
        <w:trPr/>
        <w:tc>
          <w:tcPr>
            <w:tcW w:w="161" w:type="dxa"/>
            <w:tcBorders/>
            <w:tcMar>
              <w:top w:w="0" w:type="dxa"/>
              <w:left w:w="0" w:type="dxa"/>
              <w:bottom w:w="0" w:type="dxa"/>
              <w:right w:w="0" w:type="dxa"/>
            </w:tcMar>
            <w:vAlign w:val="center"/>
          </w:tcPr>
          <w:p>
            <w:pPr>
              <w:pStyle w:val="TableContents"/>
              <w:bidi w:val="0"/>
              <w:spacing w:before="80" w:after="283"/>
              <w:jc w:val="left"/>
              <w:rPr/>
            </w:pPr>
            <w:r>
              <w:rPr/>
              <w:t> </w:t>
            </w:r>
          </w:p>
        </w:tc>
        <w:tc>
          <w:tcPr>
            <w:tcW w:w="43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610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2"/>
              </w:rPr>
            </w:pPr>
            <w:r>
              <w:rPr>
                <w:rFonts w:ascii="Times New Roman" w:hAnsi="Times New Roman"/>
                <w:color w:val="000000"/>
                <w:sz w:val="22"/>
              </w:rPr>
              <w:t>Name: Andrew Polovin</w:t>
            </w:r>
          </w:p>
        </w:tc>
      </w:tr>
      <w:tr>
        <w:trPr/>
        <w:tc>
          <w:tcPr>
            <w:tcW w:w="161" w:type="dxa"/>
            <w:tcBorders/>
            <w:tcMar>
              <w:top w:w="0" w:type="dxa"/>
              <w:left w:w="0" w:type="dxa"/>
              <w:bottom w:w="0" w:type="dxa"/>
              <w:right w:w="0" w:type="dxa"/>
            </w:tcMar>
            <w:vAlign w:val="center"/>
          </w:tcPr>
          <w:p>
            <w:pPr>
              <w:pStyle w:val="TableContents"/>
              <w:bidi w:val="0"/>
              <w:spacing w:before="80" w:after="283"/>
              <w:jc w:val="left"/>
              <w:rPr/>
            </w:pPr>
            <w:r>
              <w:rPr/>
              <w:t> </w:t>
            </w:r>
          </w:p>
        </w:tc>
        <w:tc>
          <w:tcPr>
            <w:tcW w:w="43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610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2"/>
              </w:rPr>
            </w:pPr>
            <w:r>
              <w:rPr>
                <w:rFonts w:ascii="Times New Roman" w:hAnsi="Times New Roman"/>
                <w:color w:val="000000"/>
                <w:sz w:val="22"/>
              </w:rPr>
              <w:t>Title: Executive Vice President, General Counsel, and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Delaware Certificate of Conversion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Nevada Articles of Conversion</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Nevada Articles of Incorporation</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Nevada Bylaws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2"/>
        </w:rPr>
      </w:pPr>
      <w:bookmarkStart w:id="23" w:name="tem-ex3_1.htm"/>
      <w:bookmarkStart w:id="24" w:name="kstemex3_1"/>
      <w:bookmarkEnd w:id="23"/>
      <w:bookmarkEnd w:id="24"/>
      <w:r>
        <w:rPr>
          <w:rFonts w:ascii="Times New Roman" w:hAnsi="Times New Roman"/>
          <w:color w:val="000000"/>
          <w:sz w:val="22"/>
        </w:rPr>
        <w:t>Exhibit 3.1</w:t>
      </w:r>
      <w:r>
        <w:br w:type="page"/>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ARTICLES OF INCORPORATION</w:t>
        <w:br/>
        <w:t>OF</w:t>
        <w:br/>
        <w:t>TEMPUS AI, INC.</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I.</w:t>
      </w:r>
    </w:p>
    <w:p>
      <w:pPr>
        <w:pStyle w:val="TextBody"/>
        <w:bidi w:val="0"/>
        <w:spacing w:before="0" w:after="240"/>
        <w:jc w:val="both"/>
        <w:rPr>
          <w:rFonts w:ascii="Times New Roman" w:hAnsi="Times New Roman"/>
          <w:sz w:val="20"/>
        </w:rPr>
      </w:pPr>
      <w:r>
        <w:rPr>
          <w:rFonts w:ascii="Times New Roman" w:hAnsi="Times New Roman"/>
          <w:color w:val="000000"/>
          <w:sz w:val="22"/>
        </w:rPr>
        <w:t>The name of this company is Tempus AI,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The Company is the resulting entity in the conversion of Tempus AI, Inc., a Delaware corporation, into a Nevada corporation (the “</w:t>
      </w:r>
      <w:r>
        <w:rPr>
          <w:rFonts w:ascii="Times New Roman" w:hAnsi="Times New Roman"/>
          <w:b/>
          <w:i/>
          <w:color w:val="000000"/>
          <w:sz w:val="22"/>
        </w:rPr>
        <w:t>Conversion</w:t>
      </w:r>
      <w:r>
        <w:rPr>
          <w:rFonts w:ascii="Times New Roman" w:hAnsi="Times New Roman"/>
          <w:color w:val="000000"/>
          <w:sz w:val="20"/>
        </w:rPr>
        <w:t>”</w:t>
      </w:r>
      <w:r>
        <w:rPr>
          <w:rFonts w:ascii="Times New Roman" w:hAnsi="Times New Roman"/>
          <w:color w:val="000000"/>
          <w:sz w:val="22"/>
        </w:rPr>
        <w:t>) and is a continuation of the existence thereof pursuant to Chapter 92 of the Nevada Revised Statutes (as amended from time to time, the “</w:t>
      </w:r>
      <w:r>
        <w:rPr>
          <w:rFonts w:ascii="Times New Roman" w:hAnsi="Times New Roman"/>
          <w:b/>
          <w:i/>
          <w:color w:val="000000"/>
          <w:sz w:val="22"/>
        </w:rPr>
        <w:t>NRS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Corporation may, from time to time, in the manner provided by law, change the registered agent and registered office within the State of Nevada. The registered office of the Corporation shall be the street address of its registered agent in the State of Nevada. The Corporation may also maintain an office or offices for the conduct of its business, either within or without the State of Nevada.</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purpose of the Company is to engage in any lawful act or activity for which a corporation may be organized under Chapter 78 of the NRS.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IV.</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color w:val="000000"/>
          <w:sz w:val="22"/>
        </w:rPr>
        <w:t>The Company is authorized to issue two classes of stock to be designated, respectively, “</w:t>
      </w:r>
      <w:r>
        <w:rPr>
          <w:rFonts w:ascii="Times New Roman" w:hAnsi="Times New Roman"/>
          <w:b/>
          <w:i/>
          <w:color w:val="000000"/>
          <w:sz w:val="22"/>
        </w:rPr>
        <w:t>Common Stock</w:t>
      </w:r>
      <w:r>
        <w:rPr>
          <w:color w:val="000000"/>
        </w:rPr>
        <w:t xml:space="preserve">” </w:t>
      </w:r>
      <w:r>
        <w:rPr>
          <w:rFonts w:ascii="Times New Roman" w:hAnsi="Times New Roman"/>
          <w:color w:val="000000"/>
          <w:sz w:val="22"/>
        </w:rPr>
        <w:t>(the “</w:t>
      </w:r>
      <w:r>
        <w:rPr>
          <w:rFonts w:ascii="Times New Roman" w:hAnsi="Times New Roman"/>
          <w:b/>
          <w:i/>
          <w:color w:val="000000"/>
          <w:sz w:val="22"/>
        </w:rPr>
        <w:t>Common Stock</w:t>
      </w:r>
      <w:r>
        <w:rPr>
          <w:color w:val="000000"/>
        </w:rPr>
        <w:t>”</w:t>
      </w:r>
      <w:r>
        <w:rPr>
          <w:rFonts w:ascii="Times New Roman" w:hAnsi="Times New Roman"/>
          <w:color w:val="000000"/>
          <w:sz w:val="22"/>
        </w:rPr>
        <w:t>) and “</w:t>
      </w:r>
      <w:r>
        <w:rPr>
          <w:rFonts w:ascii="Times New Roman" w:hAnsi="Times New Roman"/>
          <w:b/>
          <w:i/>
          <w:color w:val="000000"/>
          <w:sz w:val="22"/>
        </w:rPr>
        <w:t>Preferred Stock</w:t>
      </w:r>
      <w:r>
        <w:rPr>
          <w:color w:val="000000"/>
        </w:rPr>
        <w:t xml:space="preserve">” </w:t>
      </w:r>
      <w:r>
        <w:rPr>
          <w:rFonts w:ascii="Times New Roman" w:hAnsi="Times New Roman"/>
          <w:color w:val="000000"/>
          <w:sz w:val="22"/>
        </w:rPr>
        <w:t>(the “</w:t>
      </w:r>
      <w:r>
        <w:rPr>
          <w:rFonts w:ascii="Times New Roman" w:hAnsi="Times New Roman"/>
          <w:b/>
          <w:i/>
          <w:color w:val="000000"/>
          <w:sz w:val="22"/>
        </w:rPr>
        <w:t>Preferred Stock</w:t>
      </w:r>
      <w:r>
        <w:rPr>
          <w:color w:val="000000"/>
        </w:rPr>
        <w:t>”</w:t>
      </w:r>
      <w:r>
        <w:rPr>
          <w:rFonts w:ascii="Times New Roman" w:hAnsi="Times New Roman"/>
          <w:color w:val="000000"/>
          <w:sz w:val="22"/>
        </w:rPr>
        <w:t>). The total number of shares of Common Stock that the Company is authorized to issue is 1,005,500,000 shares, 1,000,000,000 shares of which shall be designated as a series of Common Stock denominated as “</w:t>
      </w:r>
      <w:r>
        <w:rPr>
          <w:rFonts w:ascii="Times New Roman" w:hAnsi="Times New Roman"/>
          <w:b/>
          <w:i/>
          <w:color w:val="000000"/>
          <w:sz w:val="22"/>
        </w:rPr>
        <w:t>Class A Common Stock</w:t>
      </w:r>
      <w:r>
        <w:rPr>
          <w:color w:val="000000"/>
        </w:rPr>
        <w:t xml:space="preserve">” </w:t>
      </w:r>
      <w:r>
        <w:rPr>
          <w:rFonts w:ascii="Times New Roman" w:hAnsi="Times New Roman"/>
          <w:color w:val="000000"/>
          <w:sz w:val="22"/>
        </w:rPr>
        <w:t>(the “</w:t>
      </w:r>
      <w:r>
        <w:rPr>
          <w:rFonts w:ascii="Times New Roman" w:hAnsi="Times New Roman"/>
          <w:b/>
          <w:i/>
          <w:color w:val="000000"/>
          <w:sz w:val="22"/>
        </w:rPr>
        <w:t>Class A Common Stock</w:t>
      </w:r>
      <w:r>
        <w:rPr>
          <w:color w:val="000000"/>
        </w:rPr>
        <w:t>”</w:t>
      </w:r>
      <w:r>
        <w:rPr>
          <w:rFonts w:ascii="Times New Roman" w:hAnsi="Times New Roman"/>
          <w:color w:val="000000"/>
          <w:sz w:val="22"/>
        </w:rPr>
        <w:t>) and 5,500,000 shares of which shall be designated as a series of Common Stock denominated as “</w:t>
      </w:r>
      <w:r>
        <w:rPr>
          <w:rFonts w:ascii="Times New Roman" w:hAnsi="Times New Roman"/>
          <w:b/>
          <w:i/>
          <w:color w:val="000000"/>
          <w:sz w:val="22"/>
        </w:rPr>
        <w:t>Class B Common Stock</w:t>
      </w:r>
      <w:r>
        <w:rPr>
          <w:color w:val="000000"/>
        </w:rPr>
        <w:t xml:space="preserve">” </w:t>
      </w:r>
      <w:r>
        <w:rPr>
          <w:rFonts w:ascii="Times New Roman" w:hAnsi="Times New Roman"/>
          <w:color w:val="000000"/>
          <w:sz w:val="22"/>
        </w:rPr>
        <w:t>(the “</w:t>
      </w:r>
      <w:r>
        <w:rPr>
          <w:rFonts w:ascii="Times New Roman" w:hAnsi="Times New Roman"/>
          <w:b/>
          <w:i/>
          <w:color w:val="000000"/>
          <w:sz w:val="22"/>
        </w:rPr>
        <w:t>Class B Common Stock</w:t>
      </w:r>
      <w:r>
        <w:rPr>
          <w:color w:val="000000"/>
        </w:rPr>
        <w:t>”</w:t>
      </w:r>
      <w:r>
        <w:rPr>
          <w:rFonts w:ascii="Times New Roman" w:hAnsi="Times New Roman"/>
          <w:color w:val="000000"/>
          <w:sz w:val="22"/>
        </w:rPr>
        <w:t>). The total number of shares of Preferred Stock that the Company is authorized to issue is 20,000,000 shares. The Preferred Stock shall have a par value of $0.0001 per share and the Common Stock shall have a par value of $0.0001 per share.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restrictions of Section 4(d) of Part D of Article IV, the Preferred Stock may be issued from time to time in one or more series. 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number of authorized shares of Preferred Stock, Class A Common Stock or Class B Common Stock may be increased or decreased (but not below the number of shares thereof then outstanding) by the affirmative vote of the holders of a majority of the voting power of all of the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of stock of the Company 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Except as provided above, the rights, preferences, privileges, restrictions and other matters relating to the Class A Common Stock and Class B Common Stock are as follows: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left"/>
        <w:rPr/>
      </w:pPr>
      <w:r>
        <w:rPr>
          <w:rFonts w:ascii="Times New Roman" w:hAnsi="Times New Roman"/>
          <w:b/>
          <w:color w:val="000000"/>
          <w:sz w:val="22"/>
        </w:rPr>
        <w:t>Definitions</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color w:val="000000"/>
        </w:rPr>
        <w:t>“</w:t>
      </w:r>
      <w:r>
        <w:rPr>
          <w:rFonts w:ascii="Times New Roman" w:hAnsi="Times New Roman"/>
          <w:b/>
          <w:i/>
          <w:color w:val="000000"/>
          <w:sz w:val="22"/>
        </w:rPr>
        <w:t>Acquisition</w:t>
      </w:r>
      <w:r>
        <w:rPr>
          <w:color w:val="000000"/>
        </w:rPr>
        <w:t xml:space="preserve">” </w:t>
      </w:r>
      <w:r>
        <w:rPr>
          <w:rFonts w:ascii="Times New Roman" w:hAnsi="Times New Roman"/>
          <w:color w:val="000000"/>
          <w:sz w:val="22"/>
        </w:rPr>
        <w:t>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color w:val="000000"/>
        </w:rPr>
        <w:t>“</w:t>
      </w:r>
      <w:r>
        <w:rPr>
          <w:rFonts w:ascii="Times New Roman" w:hAnsi="Times New Roman"/>
          <w:b/>
          <w:i/>
          <w:color w:val="000000"/>
          <w:sz w:val="22"/>
        </w:rPr>
        <w:t>Asset Transfer</w:t>
      </w:r>
      <w:r>
        <w:rPr>
          <w:color w:val="000000"/>
        </w:rPr>
        <w:t xml:space="preserve">” </w:t>
      </w:r>
      <w:r>
        <w:rPr>
          <w:rFonts w:ascii="Times New Roman" w:hAnsi="Times New Roman"/>
          <w:color w:val="000000"/>
          <w:sz w:val="22"/>
        </w:rPr>
        <w:t>means the sale, lease or exchange of all or substantially all the assets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color w:val="000000"/>
        </w:rPr>
        <w:t>“</w:t>
      </w:r>
      <w:r>
        <w:rPr>
          <w:rFonts w:ascii="Times New Roman" w:hAnsi="Times New Roman"/>
          <w:b/>
          <w:i/>
          <w:color w:val="000000"/>
          <w:sz w:val="22"/>
        </w:rPr>
        <w:t>Board of Directors</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color w:val="000000"/>
        </w:rPr>
        <w:t>“</w:t>
      </w:r>
      <w:r>
        <w:rPr>
          <w:rFonts w:ascii="Times New Roman" w:hAnsi="Times New Roman"/>
          <w:b/>
          <w:i/>
          <w:color w:val="000000"/>
          <w:sz w:val="22"/>
        </w:rPr>
        <w:t>Articles of Incorporation</w:t>
      </w:r>
      <w:r>
        <w:rPr>
          <w:color w:val="000000"/>
        </w:rPr>
        <w:t xml:space="preserve">” </w:t>
      </w:r>
      <w:r>
        <w:rPr>
          <w:rFonts w:ascii="Times New Roman" w:hAnsi="Times New Roman"/>
          <w:color w:val="000000"/>
          <w:sz w:val="22"/>
        </w:rPr>
        <w:t>means the articles of incorporation of the Company, as amended and/or restated from time to time, including the terms of any certificate of designation of any series of Preferred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pPr>
      <w:r>
        <w:rPr>
          <w:color w:val="000000"/>
        </w:rPr>
        <w:t>“</w:t>
      </w:r>
      <w:r>
        <w:rPr>
          <w:rFonts w:ascii="Times New Roman" w:hAnsi="Times New Roman"/>
          <w:b/>
          <w:i/>
          <w:color w:val="000000"/>
          <w:sz w:val="22"/>
        </w:rPr>
        <w:t>Disposition Control</w:t>
      </w:r>
      <w:r>
        <w:rPr>
          <w:color w:val="000000"/>
        </w:rPr>
        <w:t xml:space="preserve">” </w:t>
      </w:r>
      <w:r>
        <w:rPr>
          <w:rFonts w:ascii="Times New Roman" w:hAnsi="Times New Roman"/>
          <w:color w:val="000000"/>
          <w:sz w:val="22"/>
        </w:rPr>
        <w:t>means, with respect to a share of Class B Common Stock, the power (whether exclusive or shared) to direct any sale, assignment, transfer, conveyance hypothecation or other transfer or disposition, directly or indirectly, of such share.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pPr>
      <w:r>
        <w:rPr>
          <w:color w:val="000000"/>
        </w:rPr>
        <w:t>“</w:t>
      </w:r>
      <w:r>
        <w:rPr>
          <w:rFonts w:ascii="Times New Roman" w:hAnsi="Times New Roman"/>
          <w:b/>
          <w:i/>
          <w:color w:val="000000"/>
          <w:sz w:val="22"/>
        </w:rPr>
        <w:t>Entity</w:t>
      </w:r>
      <w:r>
        <w:rPr>
          <w:color w:val="000000"/>
        </w:rPr>
        <w:t xml:space="preserve">” </w:t>
      </w:r>
      <w:r>
        <w:rPr>
          <w:rFonts w:ascii="Times New Roman" w:hAnsi="Times New Roman"/>
          <w:color w:val="000000"/>
          <w:sz w:val="22"/>
        </w:rPr>
        <w:t>means any corporation, partnership, limited liability company or other legal entity.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pPr>
      <w:r>
        <w:rPr>
          <w:color w:val="000000"/>
        </w:rPr>
        <w:t>“</w:t>
      </w:r>
      <w:r>
        <w:rPr>
          <w:rFonts w:ascii="Times New Roman" w:hAnsi="Times New Roman"/>
          <w:b/>
          <w:i/>
          <w:color w:val="000000"/>
          <w:sz w:val="22"/>
        </w:rPr>
        <w:t>Effective Time</w:t>
      </w:r>
      <w:r>
        <w:rPr>
          <w:color w:val="000000"/>
        </w:rPr>
        <w:t xml:space="preserve">” </w:t>
      </w:r>
      <w:r>
        <w:rPr>
          <w:rFonts w:ascii="Times New Roman" w:hAnsi="Times New Roman"/>
          <w:color w:val="000000"/>
          <w:sz w:val="22"/>
        </w:rPr>
        <w:t>means the time these Articles of Incorporation of the Company filed with the Nevada Secretary of State became effective in accordance with the NRS.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pPr>
      <w:r>
        <w:rPr>
          <w:color w:val="000000"/>
        </w:rPr>
        <w:t>“</w:t>
      </w:r>
      <w:r>
        <w:rPr>
          <w:rFonts w:ascii="Times New Roman" w:hAnsi="Times New Roman"/>
          <w:b/>
          <w:i/>
          <w:color w:val="000000"/>
          <w:sz w:val="22"/>
        </w:rPr>
        <w:t>Family Member</w:t>
      </w:r>
      <w:r>
        <w:rPr>
          <w:color w:val="000000"/>
        </w:rPr>
        <w:t xml:space="preserve">” </w:t>
      </w:r>
      <w:r>
        <w:rPr>
          <w:rFonts w:ascii="Times New Roman" w:hAnsi="Times New Roman"/>
          <w:color w:val="000000"/>
          <w:sz w:val="22"/>
        </w:rPr>
        <w:t>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color w:val="000000"/>
        </w:rPr>
        <w:t>“</w:t>
      </w:r>
      <w:r>
        <w:rPr>
          <w:rFonts w:ascii="Times New Roman" w:hAnsi="Times New Roman"/>
          <w:b/>
          <w:i/>
          <w:color w:val="000000"/>
          <w:sz w:val="22"/>
        </w:rPr>
        <w:t>Final Conversion Date</w:t>
      </w:r>
      <w:r>
        <w:rPr>
          <w:color w:val="000000"/>
        </w:rPr>
        <w:t xml:space="preserve">” </w:t>
      </w:r>
      <w:r>
        <w:rPr>
          <w:rFonts w:ascii="Times New Roman" w:hAnsi="Times New Roman"/>
          <w:color w:val="000000"/>
          <w:sz w:val="22"/>
        </w:rPr>
        <w:t>means 5:00 p.m. in New York City, New York on the last Trading Day on which a Final Conversion Trigger Event occurs.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pPr>
      <w:r>
        <w:rPr>
          <w:color w:val="000000"/>
        </w:rPr>
        <w:t>“</w:t>
      </w:r>
      <w:r>
        <w:rPr>
          <w:rFonts w:ascii="Times New Roman" w:hAnsi="Times New Roman"/>
          <w:b/>
          <w:i/>
          <w:color w:val="000000"/>
          <w:sz w:val="22"/>
        </w:rPr>
        <w:t>Final Conversion Trigger Event</w:t>
      </w:r>
      <w:r>
        <w:rPr>
          <w:color w:val="000000"/>
        </w:rPr>
        <w:t xml:space="preserve">” </w:t>
      </w:r>
      <w:r>
        <w:rPr>
          <w:rFonts w:ascii="Times New Roman" w:hAnsi="Times New Roman"/>
          <w:color w:val="000000"/>
          <w:sz w:val="22"/>
        </w:rPr>
        <w:t xml:space="preserve">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date that the Founder and his controlled entities hold, in the aggregate, fewer than ten million (10,000,000) shares of the Company’s capital stock (as adjusted for stock splits, stock dividends, combinations, subdivisions and recapitalizations).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(k)</w:t>
      </w:r>
    </w:p>
    <w:p>
      <w:pPr>
        <w:pStyle w:val="TextBody"/>
        <w:bidi w:val="0"/>
        <w:spacing w:before="0" w:after="240"/>
        <w:jc w:val="left"/>
        <w:rPr/>
      </w:pPr>
      <w:r>
        <w:rPr>
          <w:color w:val="000000"/>
        </w:rPr>
        <w:t>“</w:t>
      </w:r>
      <w:r>
        <w:rPr>
          <w:rFonts w:ascii="Times New Roman" w:hAnsi="Times New Roman"/>
          <w:b/>
          <w:i/>
          <w:color w:val="000000"/>
          <w:sz w:val="22"/>
        </w:rPr>
        <w:t>Founder</w:t>
      </w:r>
      <w:r>
        <w:rPr>
          <w:color w:val="000000"/>
        </w:rPr>
        <w:t xml:space="preserve">” </w:t>
      </w:r>
      <w:r>
        <w:rPr>
          <w:rFonts w:ascii="Times New Roman" w:hAnsi="Times New Roman"/>
          <w:color w:val="000000"/>
          <w:sz w:val="22"/>
        </w:rPr>
        <w:t>means Eric Lefkofsky, an individual.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w:t>
      </w:r>
    </w:p>
    <w:p>
      <w:pPr>
        <w:pStyle w:val="TextBody"/>
        <w:bidi w:val="0"/>
        <w:spacing w:before="0" w:after="240"/>
        <w:jc w:val="both"/>
        <w:rPr/>
      </w:pPr>
      <w:r>
        <w:rPr>
          <w:color w:val="000000"/>
        </w:rPr>
        <w:t>“</w:t>
      </w:r>
      <w:r>
        <w:rPr>
          <w:rFonts w:ascii="Times New Roman" w:hAnsi="Times New Roman"/>
          <w:b/>
          <w:i/>
          <w:color w:val="000000"/>
          <w:sz w:val="22"/>
        </w:rPr>
        <w:t>Liquidation Event</w:t>
      </w:r>
      <w:r>
        <w:rPr>
          <w:color w:val="000000"/>
        </w:rPr>
        <w:t xml:space="preserve">” </w:t>
      </w:r>
      <w:r>
        <w:rPr>
          <w:rFonts w:ascii="Times New Roman" w:hAnsi="Times New Roman"/>
          <w:color w:val="000000"/>
          <w:sz w:val="22"/>
        </w:rPr>
        <w:t>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(m)</w:t>
      </w:r>
    </w:p>
    <w:p>
      <w:pPr>
        <w:pStyle w:val="TextBody"/>
        <w:bidi w:val="0"/>
        <w:spacing w:before="0" w:after="240"/>
        <w:jc w:val="left"/>
        <w:rPr/>
      </w:pPr>
      <w:r>
        <w:rPr>
          <w:color w:val="000000"/>
        </w:rPr>
        <w:t>“</w:t>
      </w:r>
      <w:r>
        <w:rPr>
          <w:rFonts w:ascii="Times New Roman" w:hAnsi="Times New Roman"/>
          <w:b/>
          <w:i/>
          <w:color w:val="000000"/>
          <w:sz w:val="22"/>
        </w:rPr>
        <w:t>Parent</w:t>
      </w:r>
      <w:r>
        <w:rPr>
          <w:color w:val="000000"/>
        </w:rPr>
        <w:t xml:space="preserve">” </w:t>
      </w:r>
      <w:r>
        <w:rPr>
          <w:rFonts w:ascii="Times New Roman" w:hAnsi="Times New Roman"/>
          <w:color w:val="000000"/>
          <w:sz w:val="22"/>
        </w:rPr>
        <w:t>of an Entity means any Entity that directly or indirectly owns or controls a majority of the voting power of the voting securities or interests of such Entity.</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w:t>
      </w:r>
    </w:p>
    <w:p>
      <w:pPr>
        <w:pStyle w:val="TextBody"/>
        <w:bidi w:val="0"/>
        <w:spacing w:before="0" w:after="240"/>
        <w:jc w:val="left"/>
        <w:rPr/>
      </w:pPr>
      <w:r>
        <w:rPr>
          <w:color w:val="000000"/>
        </w:rPr>
        <w:t>“</w:t>
      </w:r>
      <w:r>
        <w:rPr>
          <w:rFonts w:ascii="Times New Roman" w:hAnsi="Times New Roman"/>
          <w:b/>
          <w:i/>
          <w:color w:val="000000"/>
          <w:sz w:val="22"/>
        </w:rPr>
        <w:t>Permitted Entity</w:t>
      </w:r>
      <w:r>
        <w:rPr>
          <w:color w:val="000000"/>
        </w:rPr>
        <w:t xml:space="preserve">” </w:t>
      </w:r>
      <w:r>
        <w:rPr>
          <w:rFonts w:ascii="Times New Roman" w:hAnsi="Times New Roman"/>
          <w:color w:val="000000"/>
          <w:sz w:val="22"/>
        </w:rPr>
        <w:t>means any of the following: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trust for the benefit of any person so long as the Founder directly, or indirectly through one or more other Permitted Entities, has exclusive Disposition Control and exclusive Voting Control (as defined below) with respect to the shares of Class B Common Stock held by such trust;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pPr>
      <w:r>
        <w:rPr>
          <w:rFonts w:ascii="Times New Roman" w:hAnsi="Times New Roman"/>
          <w:color w:val="000000"/>
          <w:sz w:val="22"/>
        </w:rPr>
        <w:t>a trust under the terms of which the Founder has retained a “qualified interest” within the meaning of §2702(b) of the Internal Revenue Code of 1986 (as amended, the “</w:t>
      </w:r>
      <w:r>
        <w:rPr>
          <w:rFonts w:ascii="Times New Roman" w:hAnsi="Times New Roman"/>
          <w:b/>
          <w:i/>
          <w:color w:val="000000"/>
          <w:sz w:val="22"/>
        </w:rPr>
        <w:t>Internal Revenue Code</w:t>
      </w:r>
      <w:r>
        <w:rPr>
          <w:color w:val="000000"/>
        </w:rPr>
        <w:t>”</w:t>
      </w:r>
      <w:r>
        <w:rPr>
          <w:rFonts w:ascii="Times New Roman" w:hAnsi="Times New Roman"/>
          <w:color w:val="000000"/>
          <w:sz w:val="22"/>
        </w:rPr>
        <w:t>) or a reversionary interest so long as the Founder has exclusive Disposition Control and exclusive Voting Control with respect to the shares of Class B Common Stock held by such trust;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pPr>
      <w:r>
        <w:rPr>
          <w:rFonts w:ascii="Times New Roman" w:hAnsi="Times New Roman"/>
          <w:color w:val="000000"/>
          <w:sz w:val="22"/>
        </w:rPr>
        <w:t>a trust for the benefit of one or more of (1) the Founder, (2) a Family Member of the Founder, (3) a Permitted Entity or (4) 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hAnsi="Times New Roman"/>
          <w:b/>
          <w:i/>
          <w:color w:val="000000"/>
          <w:sz w:val="22"/>
        </w:rPr>
        <w:t>Qualified Trustee</w:t>
      </w:r>
      <w:r>
        <w:rPr>
          <w:color w:val="000000"/>
        </w:rPr>
        <w:t>”</w:t>
      </w:r>
      <w:r>
        <w:rPr>
          <w:rFonts w:ascii="Times New Roman" w:hAnsi="Times New Roman"/>
          <w:color w:val="000000"/>
          <w:sz w:val="22"/>
        </w:rPr>
        <w:t>);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 (1) 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pPr>
      <w:r>
        <w:rPr>
          <w:rFonts w:ascii="Times New Roman" w:hAnsi="Times New Roman"/>
          <w:color w:val="000000"/>
          <w:sz w:val="22"/>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hAnsi="Times New Roman"/>
          <w:b/>
          <w:i/>
          <w:color w:val="000000"/>
          <w:sz w:val="22"/>
        </w:rPr>
        <w:t>Qualified Trust</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w:t>
      </w:r>
    </w:p>
    <w:p>
      <w:pPr>
        <w:pStyle w:val="TextBody"/>
        <w:bidi w:val="0"/>
        <w:spacing w:before="0" w:after="240"/>
        <w:jc w:val="both"/>
        <w:rPr/>
      </w:pPr>
      <w:r>
        <w:rPr>
          <w:rFonts w:ascii="Times New Roman" w:hAnsi="Times New Roman"/>
          <w:color w:val="000000"/>
          <w:sz w:val="22"/>
        </w:rPr>
        <w:t>a charitable organization, foundation or similar Entity organized and operated primarily for religious, scientific, literary, education or a charitable purpose (a “</w:t>
      </w:r>
      <w:r>
        <w:rPr>
          <w:rFonts w:ascii="Times New Roman" w:hAnsi="Times New Roman"/>
          <w:b/>
          <w:i/>
          <w:color w:val="000000"/>
          <w:sz w:val="22"/>
        </w:rPr>
        <w:t>Qualified Charity</w:t>
      </w:r>
      <w:r>
        <w:rPr>
          <w:color w:val="000000"/>
        </w:rPr>
        <w:t>”</w:t>
      </w:r>
      <w:r>
        <w:rPr>
          <w:rFonts w:ascii="Times New Roman" w:hAnsi="Times New Roman"/>
          <w:color w:val="000000"/>
          <w:sz w:val="22"/>
        </w:rPr>
        <w:t>)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estate, so long as the Founder has exclusive Disposition Control and exclusive Voting Control with respect to the shares of Class B Common Stock held by such estate; and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(viii)</w:t>
      </w:r>
    </w:p>
    <w:p>
      <w:pPr>
        <w:pStyle w:val="TextBody"/>
        <w:bidi w:val="0"/>
        <w:spacing w:before="0" w:after="240"/>
        <w:jc w:val="both"/>
        <w:rPr/>
      </w:pPr>
      <w:r>
        <w:rPr>
          <w:rFonts w:ascii="Times New Roman" w:hAnsi="Times New Roman"/>
          <w:color w:val="000000"/>
          <w:sz w:val="22"/>
        </w:rPr>
        <w:t>any Entity (each, a “</w:t>
      </w:r>
      <w:r>
        <w:rPr>
          <w:rFonts w:ascii="Times New Roman" w:hAnsi="Times New Roman"/>
          <w:b/>
          <w:i/>
          <w:color w:val="000000"/>
          <w:sz w:val="22"/>
        </w:rPr>
        <w:t>Founder Entity</w:t>
      </w:r>
      <w:r>
        <w:rPr>
          <w:color w:val="000000"/>
        </w:rPr>
        <w:t>”</w:t>
      </w:r>
      <w:r>
        <w:rPr>
          <w:rFonts w:ascii="Times New Roman" w:hAnsi="Times New Roman"/>
          <w:color w:val="000000"/>
          <w:sz w:val="22"/>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pStyle w:val="TextBody"/>
        <w:bidi w:val="0"/>
        <w:spacing w:before="240" w:after="240"/>
        <w:jc w:val="left"/>
        <w:rPr>
          <w:rFonts w:ascii="Times New Roman" w:hAnsi="Times New Roman"/>
          <w:b/>
          <w:color w:val="000000"/>
          <w:sz w:val="22"/>
        </w:rPr>
      </w:pPr>
      <w:r>
        <w:rPr>
          <w:rFonts w:ascii="Times New Roman" w:hAnsi="Times New Roman"/>
          <w:b/>
          <w:color w:val="000000"/>
          <w:sz w:val="22"/>
        </w:rPr>
        <w:t>(o)</w:t>
      </w:r>
    </w:p>
    <w:p>
      <w:pPr>
        <w:pStyle w:val="TextBody"/>
        <w:bidi w:val="0"/>
        <w:spacing w:before="240" w:after="240"/>
        <w:jc w:val="left"/>
        <w:rPr/>
      </w:pPr>
      <w:r>
        <w:rPr>
          <w:color w:val="000000"/>
        </w:rPr>
        <w:t>“</w:t>
      </w:r>
      <w:r>
        <w:rPr>
          <w:rFonts w:ascii="Times New Roman" w:hAnsi="Times New Roman"/>
          <w:b/>
          <w:i/>
          <w:color w:val="000000"/>
          <w:sz w:val="22"/>
        </w:rPr>
        <w:t>Permitted Transfer</w:t>
      </w:r>
      <w:r>
        <w:rPr>
          <w:color w:val="000000"/>
        </w:rPr>
        <w:t xml:space="preserve">” </w:t>
      </w:r>
      <w:r>
        <w:rPr>
          <w:rFonts w:ascii="Times New Roman" w:hAnsi="Times New Roman"/>
          <w:color w:val="000000"/>
          <w:sz w:val="22"/>
        </w:rPr>
        <w:t>means, and is restricted to, any Transfer of a share of Class B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the trustee of a Permitted Entity that is a trust of a Qualified Stockholder, to such Qualified Stockholder, the trustee of any other Permitted Entity that is a trust of such Qualified Stockholder or any Permitted Entity of such Qualified Stockholder;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 Qualified Stockholder to any Permitted Entity of such Qualified Stockholder;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 Permitted Entity of a Qualified Stockholder to such Qualified Stockholder or any other Permitted Entity, or the trustee of a Permitted Entity that is a trust of such Qualified Stockholder.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w:t>
      </w:r>
    </w:p>
    <w:p>
      <w:pPr>
        <w:pStyle w:val="TextBody"/>
        <w:bidi w:val="0"/>
        <w:spacing w:before="0" w:after="240"/>
        <w:jc w:val="both"/>
        <w:rPr/>
      </w:pPr>
      <w:r>
        <w:rPr>
          <w:color w:val="000000"/>
        </w:rPr>
        <w:t>“</w:t>
      </w:r>
      <w:r>
        <w:rPr>
          <w:rFonts w:ascii="Times New Roman" w:hAnsi="Times New Roman"/>
          <w:b/>
          <w:i/>
          <w:color w:val="000000"/>
          <w:sz w:val="22"/>
        </w:rPr>
        <w:t>Permitted Transferee</w:t>
      </w:r>
      <w:r>
        <w:rPr>
          <w:color w:val="000000"/>
        </w:rPr>
        <w:t xml:space="preserve">” </w:t>
      </w:r>
      <w:r>
        <w:rPr>
          <w:rFonts w:ascii="Times New Roman" w:hAnsi="Times New Roman"/>
          <w:color w:val="000000"/>
          <w:sz w:val="22"/>
        </w:rPr>
        <w:t>means a transferee of shares of Class B Common Stock received in a Transfer that constitutes a Permitted Transfer.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w:t>
      </w:r>
    </w:p>
    <w:p>
      <w:pPr>
        <w:pStyle w:val="TextBody"/>
        <w:bidi w:val="0"/>
        <w:spacing w:before="0" w:after="240"/>
        <w:jc w:val="both"/>
        <w:rPr/>
      </w:pPr>
      <w:r>
        <w:rPr>
          <w:color w:val="000000"/>
        </w:rPr>
        <w:t>“</w:t>
      </w:r>
      <w:r>
        <w:rPr>
          <w:rFonts w:ascii="Times New Roman" w:hAnsi="Times New Roman"/>
          <w:b/>
          <w:i/>
          <w:color w:val="000000"/>
          <w:sz w:val="22"/>
        </w:rPr>
        <w:t>Qualified Stockholder</w:t>
      </w:r>
      <w:r>
        <w:rPr>
          <w:color w:val="000000"/>
        </w:rPr>
        <w:t xml:space="preserve">” </w:t>
      </w:r>
      <w:r>
        <w:rPr>
          <w:rFonts w:ascii="Times New Roman" w:hAnsi="Times New Roman"/>
          <w:color w:val="000000"/>
          <w:sz w:val="22"/>
        </w:rPr>
        <w:t>means (i) the Founder, (ii) any record holder of a share of Class B Common Stock at the Effective Time, and (iii) a Permitted Transferee.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w:t>
      </w:r>
    </w:p>
    <w:p>
      <w:pPr>
        <w:pStyle w:val="TextBody"/>
        <w:bidi w:val="0"/>
        <w:spacing w:before="0" w:after="240"/>
        <w:jc w:val="both"/>
        <w:rPr/>
      </w:pPr>
      <w:r>
        <w:rPr>
          <w:color w:val="000000"/>
        </w:rPr>
        <w:t>“</w:t>
      </w:r>
      <w:r>
        <w:rPr>
          <w:rFonts w:ascii="Times New Roman" w:hAnsi="Times New Roman"/>
          <w:b/>
          <w:i/>
          <w:color w:val="000000"/>
          <w:sz w:val="22"/>
        </w:rPr>
        <w:t>Trading Day</w:t>
      </w:r>
      <w:r>
        <w:rPr>
          <w:color w:val="000000"/>
        </w:rPr>
        <w:t xml:space="preserve">” </w:t>
      </w:r>
      <w:r>
        <w:rPr>
          <w:rFonts w:ascii="Times New Roman" w:hAnsi="Times New Roman"/>
          <w:color w:val="000000"/>
          <w:sz w:val="22"/>
        </w:rPr>
        <w:t>means any day on which The Nasdaq Stock Market, or any national stock exchange under which the Company’s equity securities are listed for trading, is open for trading.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w:t>
      </w:r>
    </w:p>
    <w:p>
      <w:pPr>
        <w:pStyle w:val="TextBody"/>
        <w:bidi w:val="0"/>
        <w:spacing w:before="0" w:after="240"/>
        <w:jc w:val="both"/>
        <w:rPr/>
      </w:pPr>
      <w:r>
        <w:rPr>
          <w:color w:val="000000"/>
        </w:rPr>
        <w:t>“</w:t>
      </w:r>
      <w:r>
        <w:rPr>
          <w:rFonts w:ascii="Times New Roman" w:hAnsi="Times New Roman"/>
          <w:b/>
          <w:i/>
          <w:color w:val="000000"/>
          <w:sz w:val="22"/>
        </w:rPr>
        <w:t>Transfer</w:t>
      </w:r>
      <w:r>
        <w:rPr>
          <w:color w:val="000000"/>
        </w:rPr>
        <w:t xml:space="preserve">” </w:t>
      </w:r>
      <w:r>
        <w:rPr>
          <w:rFonts w:ascii="Times New Roman" w:hAnsi="Times New Roman"/>
          <w:color w:val="000000"/>
          <w:sz w:val="22"/>
        </w:rPr>
        <w:t>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hAnsi="Times New Roman"/>
          <w:b/>
          <w:i/>
          <w:color w:val="000000"/>
          <w:sz w:val="22"/>
        </w:rPr>
        <w:t>Transfer</w:t>
      </w:r>
      <w:r>
        <w:rPr>
          <w:color w:val="000000"/>
        </w:rPr>
        <w:t xml:space="preserve">” </w:t>
      </w:r>
      <w:r>
        <w:rPr>
          <w:rFonts w:ascii="Times New Roman" w:hAnsi="Times New Roman"/>
          <w:color w:val="000000"/>
          <w:sz w:val="22"/>
        </w:rPr>
        <w:t>within the meaning of this Article IV:</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granting of a revocable proxy to officers or directors of the Company at the request of the Board of Directors in connection with actions to be taken at an annual or special meeting of stockholders;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existence of any proxy granted prior to the Effective Time or the amendment or expiration of any such proxy;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w:t>
      </w:r>
    </w:p>
    <w:p>
      <w:pPr>
        <w:pStyle w:val="TextBody"/>
        <w:bidi w:val="0"/>
        <w:spacing w:before="0" w:after="240"/>
        <w:jc w:val="both"/>
        <w:rPr/>
      </w:pPr>
      <w:r>
        <w:rPr>
          <w:color w:val="000000"/>
        </w:rPr>
        <w:t>“</w:t>
      </w:r>
      <w:r>
        <w:rPr>
          <w:rFonts w:ascii="Times New Roman" w:hAnsi="Times New Roman"/>
          <w:b/>
          <w:i/>
          <w:color w:val="000000"/>
          <w:sz w:val="22"/>
        </w:rPr>
        <w:t>Voting Control</w:t>
      </w:r>
      <w:r>
        <w:rPr>
          <w:color w:val="000000"/>
        </w:rPr>
        <w:t xml:space="preserve">” </w:t>
      </w:r>
      <w:r>
        <w:rPr>
          <w:rFonts w:ascii="Times New Roman" w:hAnsi="Times New Roman"/>
          <w:color w:val="000000"/>
          <w:sz w:val="22"/>
        </w:rPr>
        <w:t>means, with respect to a share of Class B Common Stock, the power (whether exclusive or shared) to vote or direct the voting, directly or indirectly, of such share by proxy, voting agreement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Rights Relating To Dividends and Other Distributions, Subdivisions and Combinations.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Liquidation Rights</w:t>
      </w:r>
      <w:r>
        <w:rPr>
          <w:rFonts w:ascii="Times New Roman" w:hAnsi="Times New Roman"/>
          <w:color w:val="000000"/>
          <w:sz w:val="22"/>
        </w:rPr>
        <w:t>. In the event of a Liquidation Event, upon the completion of the distributions required with respect to any Preferred 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Voting Rights</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b/>
          <w:color w:val="000000"/>
          <w:sz w:val="22"/>
        </w:rPr>
        <w:t>Class A Common Stock</w:t>
      </w:r>
      <w:r>
        <w:rPr>
          <w:rFonts w:ascii="Times New Roman" w:hAnsi="Times New Roman"/>
          <w:color w:val="000000"/>
          <w:sz w:val="22"/>
        </w:rPr>
        <w:t>. Each holder of shares of Class A Common Stock shall be entitled to one (1) vote for each share thereof held.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rPr>
        <w:t>Class B Common Stock</w:t>
      </w:r>
      <w:r>
        <w:rPr>
          <w:rFonts w:ascii="Times New Roman" w:hAnsi="Times New Roman"/>
          <w:color w:val="000000"/>
          <w:sz w:val="22"/>
        </w:rPr>
        <w:t>. Each holder of shares of Class B Common Stock shall be entitled to thirty (30) votes for each share thereof held.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rPr>
        <w:t>Voting Generally</w:t>
      </w:r>
      <w:r>
        <w:rPr>
          <w:rFonts w:ascii="Times New Roman" w:hAnsi="Times New Roman"/>
          <w:color w:val="000000"/>
          <w:sz w:val="22"/>
        </w:rPr>
        <w:t>. Except as required by law or as otherwise set forth herein, the holders of Preferred Stock, Class A Common 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b/>
          <w:color w:val="000000"/>
          <w:sz w:val="22"/>
        </w:rPr>
        <w:t>Class B Common Stock Protective Provisions</w:t>
      </w:r>
      <w:r>
        <w:rPr>
          <w:rFonts w:ascii="Times New Roman" w:hAnsi="Times New Roman"/>
          <w:color w:val="000000"/>
          <w:sz w:val="22"/>
        </w:rPr>
        <w:t xml:space="preserve">. Notwithstanding anything herein to the contrary, so long as any shares of Class B Common Stock remain outstanding, the Company shall not, without the approval by vote or written consent of the holders of a majority of the outstanding shares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Class B Common Stock, voting together as a separate class, directly or indirectly, or whether by amendment, or through merger, recapitalization, consolidation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rFonts w:ascii="Times New Roman" w:hAnsi="Times New Roman"/>
          <w:color w:val="000000"/>
          <w:sz w:val="22"/>
        </w:rPr>
        <w:t>amend, alter, or repeal any provision of the Articles of Incorporation or the bylaws of the Company (as amended and/or restated from time to time, the “</w:t>
      </w:r>
      <w:r>
        <w:rPr>
          <w:rFonts w:ascii="Times New Roman" w:hAnsi="Times New Roman"/>
          <w:b/>
          <w:i/>
          <w:color w:val="000000"/>
          <w:sz w:val="22"/>
        </w:rPr>
        <w:t>Bylaws</w:t>
      </w:r>
      <w:r>
        <w:rPr>
          <w:color w:val="000000"/>
        </w:rPr>
        <w:t>”</w:t>
      </w:r>
      <w:r>
        <w:rPr>
          <w:rFonts w:ascii="Times New Roman" w:hAnsi="Times New Roman"/>
          <w:color w:val="000000"/>
          <w:sz w:val="22"/>
        </w:rPr>
        <w:t>) in a manner that modifies the voting, conversion or other powers, preferences, or other special rights or privileges, or restrictions of the Class B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reclassify any outstanding shares of Class A Common Stock into shares having rights as to dividends or other distributions, or liquidation, that are senior to the Class B Common Stock or the right to more than one vote for each share thereof;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 any shares of Preferred Stock having the power (whether exclusive or shared) to vote, or direct the voting of such shares by proxy, voting agreement or otherwise, equal or superior to the Voting Control;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 any additional shares of Class B Common Stock or other securities convertible into shares of Class B Common Stock, except for the issuance of Class B Common Stock issuable upon a dividend or other distribution payable in accordance with Section 2(b) of this Part D of Article IV.</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Optional Conversion.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Optional Conversion of the Class B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the option of the holder thereof, each share of Class B Common Stock shall be convertible, at any time or from time to time, into one fully paid and nonassessable share of Class A Common Stock as provided herein.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holder of Class B Common Stock who elects to convert the same into shares of Class A Common Stock shall surrender the certificate or certificates therefor (if any),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Automatic Conversion.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b/>
          <w:color w:val="000000"/>
          <w:sz w:val="22"/>
        </w:rPr>
        <w:t>Automatic Conversion of the Class B Common Stock</w:t>
      </w:r>
      <w:r>
        <w:rPr>
          <w:rFonts w:ascii="Times New Roman" w:hAnsi="Times New Roman"/>
          <w:color w:val="000000"/>
          <w:sz w:val="22"/>
        </w:rPr>
        <w:t xml:space="preserve">. Each share of Class B Common Stock shall automatically be converted 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rPr>
        <w:t>Final Conversion</w:t>
      </w:r>
      <w:r>
        <w:rPr>
          <w:rFonts w:ascii="Times New Roman" w:hAnsi="Times New Roman"/>
          <w:color w:val="000000"/>
          <w:sz w:val="22"/>
        </w:rPr>
        <w:t>. On the Final Conversion Date, each issued share of Class B Common Stock shall automatically, without any 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rPr>
        <w:t>Procedures</w:t>
      </w:r>
      <w:r>
        <w:rPr>
          <w:rFonts w:ascii="Times New Roman" w:hAnsi="Times New Roman"/>
          <w:color w:val="000000"/>
          <w:sz w:val="22"/>
        </w:rPr>
        <w:t>. The Company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b/>
          <w:color w:val="000000"/>
          <w:sz w:val="22"/>
        </w:rPr>
        <w:t>Immediate Effect</w:t>
      </w:r>
      <w:r>
        <w:rPr>
          <w:rFonts w:ascii="Times New Roman" w:hAnsi="Times New Roman"/>
          <w:color w:val="000000"/>
          <w:sz w:val="22"/>
        </w:rPr>
        <w:t>. In the event of a conversion of shares of Class B Common Stock to shares of Class A Common Stock 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Redemption</w:t>
      </w:r>
      <w:r>
        <w:rPr>
          <w:rFonts w:ascii="Times New Roman" w:hAnsi="Times New Roman"/>
          <w:color w:val="000000"/>
          <w:sz w:val="22"/>
        </w:rPr>
        <w:t>. The Common Stock is not redeemable.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Reservation of Stock Issuable Upon Conversion</w:t>
      </w:r>
      <w:r>
        <w:rPr>
          <w:rFonts w:ascii="Times New Roman" w:hAnsi="Times New Roman"/>
          <w:color w:val="000000"/>
          <w:sz w:val="22"/>
        </w:rPr>
        <w:t xml:space="preserve">. The Company shall at all times reserve and keep available out of its authorized but 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may, in the opinion of its counsel, be necessary to increase its authorized but unissued shares of Class A Common Stock to such numbers of shares as shall be sufficient for such purpose.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Prohibition on Reissuance of Shares</w:t>
      </w:r>
      <w:r>
        <w:rPr>
          <w:rFonts w:ascii="Times New Roman" w:hAnsi="Times New Roman"/>
          <w:color w:val="000000"/>
          <w:sz w:val="22"/>
        </w:rPr>
        <w:t>. Shares of Class B Common Stock that are acquired by the Company for any reason (whether by repurchase, upon conversion, or otherwise) shall be retired in the manner required by law and shall not be reissued as shares of Class B Common Stock or otherwise.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Board of Directors.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Generally</w:t>
      </w:r>
      <w:r>
        <w:rPr>
          <w:rFonts w:ascii="Times New Roman" w:hAnsi="Times New Roman"/>
          <w:color w:val="000000"/>
          <w:sz w:val="22"/>
        </w:rPr>
        <w:t>. Except as otherwise provided in the Articles of Incorporation or the NRS, the business and affairs of the Company shall be 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Election</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Directors shall be elected at each annual meeting of the stockholders to hold office until the next annual meeting.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stockholder entitled to vote at an election for directors may cumulate votes.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Election of directors need not be by written ballot unless the Bylaws so provide.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Advance notice of nominations for the election of directors or proposals or other business to be considered by stockholders, which are made by any stockholder of the Company, shall be given in the manner and to the extent provided in the Bylaws.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Removal of Directors</w:t>
      </w:r>
      <w:r>
        <w:rPr>
          <w:rFonts w:ascii="Times New Roman" w:hAnsi="Times New Roman"/>
          <w:color w:val="000000"/>
          <w:sz w:val="22"/>
        </w:rPr>
        <w:t>. Subject to any limitations imposed by applicable law, removal of any director(s) shall be as provided in NRS 78.335.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Vacancies</w:t>
      </w:r>
      <w:r>
        <w:rPr>
          <w:rFonts w:ascii="Times New Roman" w:hAnsi="Times New Roman"/>
          <w:color w:val="000000"/>
          <w:sz w:val="22"/>
        </w:rPr>
        <w:t xml:space="preserve">. 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Preferred Directors</w:t>
      </w:r>
      <w:r>
        <w:rPr>
          <w:rFonts w:ascii="Times New Roman" w:hAnsi="Times New Roman"/>
          <w:color w:val="000000"/>
          <w:sz w:val="22"/>
        </w:rPr>
        <w:t>. Notwithstanding anything herein to the contrary,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rPr>
        <w:t>Stockholder Actions</w:t>
      </w:r>
      <w:r>
        <w:rPr>
          <w:rFonts w:ascii="Times New Roman" w:hAnsi="Times New Roman"/>
          <w:color w:val="000000"/>
          <w:sz w:val="22"/>
        </w:rPr>
        <w:t>. Following the Final Conversion Date (i) no action shall be taken by the stockholders of the Company except at an annual 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rPr>
        <w:t>Bylaws</w:t>
      </w:r>
      <w:r>
        <w:rPr>
          <w:rFonts w:ascii="Times New Roman" w:hAnsi="Times New Roman"/>
          <w:color w:val="000000"/>
          <w:sz w:val="22"/>
        </w:rPr>
        <w:t>. Subject to the restrictions of Section 4(d) of Part D of Article IV, the Board of Directors is expressly empowered to adopt, amend or 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b/>
          <w:color w:val="000000"/>
          <w:sz w:val="22"/>
        </w:rPr>
        <w:t>Special Meetings of Stockholders</w:t>
      </w:r>
      <w:r>
        <w:rPr>
          <w:rFonts w:ascii="Times New Roman" w:hAnsi="Times New Roman"/>
          <w:color w:val="000000"/>
          <w:sz w:val="22"/>
        </w:rPr>
        <w:t>. Special meetings of the stockholders (a) may be called, for any purpose as is a proper matter for stockholder action under the NRS,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(b) 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VI.</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liability of the directors and officers of the Company shall be eliminated or limited to the fullest extent permitted under applicable law, 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fullest extent permitted by applicable law, including the NRS and as may be provided for by the Company in the Bylaws or by 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repeal or modification of this Article VI shall only be prospective and shall not affect the rights under this Article VI in effect at the time of the alleged occurrence of any action or omission to act giving rise to liability.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color w:val="000000"/>
          <w:sz w:val="22"/>
        </w:rPr>
        <w:t>Unless the Company consents in writing to the selection of an alternative forum, the Eighth Judicial District Court of the State of Nevada in Clark County, Nevada (the “</w:t>
      </w:r>
      <w:r>
        <w:rPr>
          <w:rFonts w:ascii="Times New Roman" w:hAnsi="Times New Roman"/>
          <w:b/>
          <w:i/>
          <w:color w:val="000000"/>
          <w:sz w:val="22"/>
        </w:rPr>
        <w:t>Nevada Court</w:t>
      </w:r>
      <w:r>
        <w:rPr>
          <w:color w:val="000000"/>
        </w:rPr>
        <w:t>”</w:t>
      </w:r>
      <w:r>
        <w:rPr>
          <w:rFonts w:ascii="Times New Roman" w:hAnsi="Times New Roman"/>
          <w:color w:val="000000"/>
          <w:sz w:val="22"/>
        </w:rPr>
        <w:t>)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the Company consents in writing to the selection of an alternative forum, the federal district courts of the United States of America shall 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or Entity holding, owning or otherwise acquiring any interest in shares of capital stock of the Company shall be deemed to have notice of and to have consented to the provisions of this Article VI.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VII.</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reserves the right to amend, alter, change or repeal any provision contained in these Articles of Incorporation, in the manner now or hereafter prescribed by statute, except as provided in paragraph B of this Article VII and subject to the restrictions of Section 4(d) of Part D of Article IV, and all rights conferred upon the stockholders herein are granted subject to this reservation.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provisions of these Articles of Incorporation or any provision of law that might otherwise permit a lesser vote or no vote, but in addition to any affirmative vote required by law or by these Articles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VIII.</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fullest extent permitted by law, each and every natural person, corporation, general or limited partnership, limited liability company, joint venture, trust, association or any other entity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provision or provisions of the Articles shall be held to be invalid, illegal or unenforceable as applied to any circumstance for any reason 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 (ii) to the fullest extent possible, the provisions of the Articles (including, without limitation, each such portion of any paragraph of the Articles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5" w:name="tem-ex3_2.htm"/>
      <w:bookmarkStart w:id="26" w:name="kstemex3_2"/>
      <w:bookmarkEnd w:id="25"/>
      <w:bookmarkEnd w:id="26"/>
      <w:r>
        <w:rPr/>
        <w:t> </w:t>
      </w:r>
      <w:r>
        <w:br w:type="page"/>
      </w:r>
    </w:p>
    <w:p>
      <w:pPr>
        <w:pStyle w:val="TextBody"/>
        <w:bidi w:val="0"/>
        <w:jc w:val="left"/>
        <w:rPr/>
      </w:pPr>
      <w:r>
        <w:rPr/>
        <w:t> </w:t>
      </w:r>
    </w:p>
    <w:p>
      <w:pPr>
        <w:pStyle w:val="TextBody"/>
        <w:bidi w:val="0"/>
        <w:spacing w:before="0" w:after="720"/>
        <w:jc w:val="right"/>
        <w:rPr>
          <w:rFonts w:ascii="Arial" w:hAnsi="Arial"/>
          <w:b/>
          <w:color w:val="000000"/>
          <w:sz w:val="20"/>
        </w:rPr>
      </w:pPr>
      <w:r>
        <w:rPr>
          <w:rFonts w:ascii="Arial" w:hAnsi="Arial"/>
          <w:b/>
          <w:color w:val="000000"/>
          <w:sz w:val="20"/>
        </w:rPr>
        <w:t>Exhibit 3.2</w:t>
      </w:r>
    </w:p>
    <w:p>
      <w:pPr>
        <w:pStyle w:val="TextBody"/>
        <w:bidi w:val="0"/>
        <w:jc w:val="center"/>
        <w:rPr>
          <w:rFonts w:ascii="Arial" w:hAnsi="Arial"/>
          <w:b/>
          <w:caps/>
          <w:color w:val="000000"/>
          <w:sz w:val="20"/>
        </w:rPr>
      </w:pPr>
      <w:r>
        <w:rPr>
          <w:rFonts w:ascii="Arial" w:hAnsi="Arial"/>
          <w:b/>
          <w:caps/>
          <w:color w:val="000000"/>
          <w:sz w:val="20"/>
        </w:rPr>
        <w:t>AMENDED AND RESTATED BYLAWS</w:t>
        <w:br/>
        <w:br/>
        <w:t>OF</w:t>
        <w:br/>
        <w:br/>
        <w:t>Tempus AI, INC.</w:t>
      </w:r>
    </w:p>
    <w:p>
      <w:pPr>
        <w:pStyle w:val="TextBody"/>
        <w:bidi w:val="0"/>
        <w:jc w:val="center"/>
        <w:rPr/>
      </w:pPr>
      <w:r>
        <w:rPr/>
        <w:t> </w:t>
      </w:r>
    </w:p>
    <w:p>
      <w:pPr>
        <w:pStyle w:val="TextBody"/>
        <w:bidi w:val="0"/>
        <w:spacing w:before="0" w:after="480"/>
        <w:jc w:val="center"/>
        <w:rPr>
          <w:rFonts w:ascii="Arial" w:hAnsi="Arial"/>
          <w:b/>
          <w:caps/>
          <w:color w:val="000000"/>
          <w:sz w:val="20"/>
        </w:rPr>
      </w:pPr>
      <w:r>
        <w:rPr>
          <w:rFonts w:ascii="Arial" w:hAnsi="Arial"/>
          <w:b/>
          <w:caps/>
          <w:color w:val="000000"/>
          <w:sz w:val="20"/>
        </w:rPr>
        <w:t>(A Nevada CORPORATION)</w:t>
      </w:r>
    </w:p>
    <w:p>
      <w:pPr>
        <w:pStyle w:val="TextBody"/>
        <w:bidi w:val="0"/>
        <w:spacing w:before="0" w:after="480"/>
        <w:jc w:val="center"/>
        <w:rPr>
          <w:rFonts w:ascii="Arial" w:hAnsi="Arial"/>
          <w:b/>
          <w:caps/>
          <w:color w:val="000000"/>
          <w:sz w:val="20"/>
        </w:rPr>
      </w:pPr>
      <w:r>
        <w:rPr>
          <w:rFonts w:ascii="Arial" w:hAnsi="Arial"/>
          <w:b/>
          <w:caps/>
          <w:color w:val="000000"/>
          <w:sz w:val="20"/>
        </w:rPr>
        <w:t>(aDOPTED AS OF august 7, 2025)</w:t>
      </w:r>
    </w:p>
    <w:p>
      <w:pPr>
        <w:pStyle w:val="TextBody"/>
        <w:bidi w:val="0"/>
        <w:spacing w:before="0" w:after="48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AMENDED AND RESTATED BYLAWS</w:t>
        <w:br/>
        <w:br/>
        <w:t>OF</w:t>
        <w:br/>
        <w:br/>
        <w:t>TEMPUS AI, INC.</w:t>
      </w:r>
    </w:p>
    <w:p>
      <w:pPr>
        <w:pStyle w:val="TextBody"/>
        <w:bidi w:val="0"/>
        <w:jc w:val="center"/>
        <w:rPr/>
      </w:pPr>
      <w:r>
        <w:rPr/>
        <w:t> </w:t>
      </w:r>
    </w:p>
    <w:p>
      <w:pPr>
        <w:pStyle w:val="TextBody"/>
        <w:bidi w:val="0"/>
        <w:spacing w:before="0" w:after="480"/>
        <w:jc w:val="center"/>
        <w:rPr>
          <w:rFonts w:ascii="Arial" w:hAnsi="Arial"/>
          <w:b/>
          <w:caps/>
          <w:color w:val="000000"/>
          <w:sz w:val="20"/>
        </w:rPr>
      </w:pPr>
      <w:r>
        <w:rPr>
          <w:rFonts w:ascii="Arial" w:hAnsi="Arial"/>
          <w:b/>
          <w:caps/>
          <w:color w:val="000000"/>
          <w:sz w:val="20"/>
        </w:rPr>
        <w:t>(A Nevada CORPORATION)</w:t>
      </w:r>
    </w:p>
    <w:p>
      <w:pPr>
        <w:pStyle w:val="TextBody"/>
        <w:bidi w:val="0"/>
        <w:spacing w:before="0" w:after="240"/>
        <w:jc w:val="center"/>
        <w:rPr>
          <w:rFonts w:ascii="Arial" w:hAnsi="Arial"/>
          <w:b/>
          <w:caps/>
          <w:color w:val="000000"/>
          <w:sz w:val="20"/>
        </w:rPr>
      </w:pPr>
      <w:r>
        <w:rPr>
          <w:rFonts w:ascii="Arial" w:hAnsi="Arial"/>
          <w:b/>
          <w:caps/>
          <w:color w:val="000000"/>
          <w:sz w:val="20"/>
        </w:rPr>
        <w:t>Article I</w:t>
      </w:r>
    </w:p>
    <w:p>
      <w:pPr>
        <w:pStyle w:val="TextBody"/>
        <w:bidi w:val="0"/>
        <w:spacing w:before="0" w:after="240"/>
        <w:jc w:val="center"/>
        <w:rPr>
          <w:rFonts w:ascii="Arial" w:hAnsi="Arial"/>
          <w:b/>
          <w:caps/>
          <w:color w:val="000000"/>
          <w:sz w:val="20"/>
        </w:rPr>
      </w:pPr>
      <w:r>
        <w:rPr>
          <w:rFonts w:ascii="Arial" w:hAnsi="Arial"/>
          <w:b/>
          <w:caps/>
          <w:color w:val="000000"/>
          <w:sz w:val="20"/>
        </w:rPr>
        <w:br/>
        <w:br/>
        <w:t>OFFICES</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Registered Office.</w:t>
      </w:r>
      <w:r>
        <w:rPr>
          <w:color w:val="000000"/>
        </w:rPr>
        <w:t xml:space="preserve"> </w:t>
      </w:r>
      <w:r>
        <w:rPr>
          <w:rFonts w:ascii="Arial" w:hAnsi="Arial"/>
          <w:color w:val="000000"/>
          <w:sz w:val="20"/>
        </w:rPr>
        <w:t>The street address of the corporation’s registered agent in the State of Nevada is the registered office of the corporation in the State of Nevada.</w:t>
      </w:r>
    </w:p>
    <w:p>
      <w:pPr>
        <w:pStyle w:val="TextBody"/>
        <w:bidi w:val="0"/>
        <w:spacing w:before="0" w:after="240"/>
        <w:jc w:val="both"/>
        <w:rPr>
          <w:rFonts w:ascii="Arial" w:hAnsi="Arial"/>
          <w:b/>
          <w:color w:val="000000"/>
          <w:sz w:val="20"/>
        </w:rPr>
      </w:pPr>
      <w:r>
        <w:rPr>
          <w:rFonts w:ascii="Arial" w:hAnsi="Arial"/>
          <w:b/>
          <w:color w:val="000000"/>
          <w:sz w:val="20"/>
        </w:rPr>
        <w:t>Section 2.</w:t>
      </w:r>
    </w:p>
    <w:p>
      <w:pPr>
        <w:pStyle w:val="TextBody"/>
        <w:bidi w:val="0"/>
        <w:spacing w:before="0" w:after="240"/>
        <w:jc w:val="both"/>
        <w:rPr/>
      </w:pPr>
      <w:r>
        <w:rPr>
          <w:rFonts w:ascii="Arial" w:hAnsi="Arial"/>
          <w:b/>
          <w:color w:val="000000"/>
          <w:sz w:val="20"/>
        </w:rPr>
        <w:t>Other Offices.</w:t>
      </w:r>
      <w:r>
        <w:rPr>
          <w:color w:val="000000"/>
        </w:rPr>
        <w:t xml:space="preserve"> </w:t>
      </w:r>
      <w:r>
        <w:rPr>
          <w:rFonts w:ascii="Arial" w:hAnsi="Arial"/>
          <w:color w:val="000000"/>
          <w:sz w:val="20"/>
        </w:rPr>
        <w:t>The corporation may also have and maintain an office or principal place of business at such place as may be fixed by the Board of Directors of the corporation (the “Board of Directors”), and may also have offices at such other places, both within and without the State of Nevada as the Board of Directors may from time to time determine or the business of the corporation may require.</w:t>
      </w:r>
    </w:p>
    <w:p>
      <w:pPr>
        <w:pStyle w:val="TextBody"/>
        <w:bidi w:val="0"/>
        <w:spacing w:before="0" w:after="240"/>
        <w:jc w:val="center"/>
        <w:rPr>
          <w:rFonts w:ascii="Arial" w:hAnsi="Arial"/>
          <w:b/>
          <w:caps/>
          <w:color w:val="000000"/>
          <w:sz w:val="20"/>
        </w:rPr>
      </w:pPr>
      <w:r>
        <w:rPr>
          <w:rFonts w:ascii="Arial" w:hAnsi="Arial"/>
          <w:b/>
          <w:caps/>
          <w:color w:val="000000"/>
          <w:sz w:val="20"/>
        </w:rPr>
        <w:t>Article II</w:t>
      </w:r>
    </w:p>
    <w:p>
      <w:pPr>
        <w:pStyle w:val="TextBody"/>
        <w:bidi w:val="0"/>
        <w:spacing w:before="0" w:after="240"/>
        <w:jc w:val="center"/>
        <w:rPr>
          <w:rFonts w:ascii="Arial" w:hAnsi="Arial"/>
          <w:b/>
          <w:caps/>
          <w:color w:val="000000"/>
          <w:sz w:val="20"/>
        </w:rPr>
      </w:pPr>
      <w:r>
        <w:rPr>
          <w:rFonts w:ascii="Arial" w:hAnsi="Arial"/>
          <w:b/>
          <w:caps/>
          <w:color w:val="000000"/>
          <w:sz w:val="20"/>
        </w:rPr>
        <w:br/>
        <w:br/>
        <w:t>CORPORATE SEAL</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Corporate Seal.</w:t>
      </w:r>
      <w:r>
        <w:rPr>
          <w:color w:val="000000"/>
        </w:rPr>
        <w:t xml:space="preserve"> </w:t>
      </w:r>
      <w:r>
        <w:rPr>
          <w:rFonts w:ascii="Arial" w:hAnsi="Arial"/>
          <w:color w:val="000000"/>
          <w:sz w:val="20"/>
        </w:rPr>
        <w:t>The Board of Directors may adopt a corporate seal. If adopted, the corporate seal shall consist of a die bearing the name of the corporation and the inscription, “Corporate Seal-Nevada.” Said seal may be used by causing it or a facsimile thereof to be impressed or affixed or reproduced or otherwise.</w:t>
      </w:r>
    </w:p>
    <w:p>
      <w:pPr>
        <w:pStyle w:val="TextBody"/>
        <w:bidi w:val="0"/>
        <w:spacing w:before="0" w:after="240"/>
        <w:jc w:val="center"/>
        <w:rPr>
          <w:rFonts w:ascii="Arial" w:hAnsi="Arial"/>
          <w:b/>
          <w:caps/>
          <w:color w:val="000000"/>
          <w:sz w:val="20"/>
        </w:rPr>
      </w:pPr>
      <w:r>
        <w:rPr>
          <w:rFonts w:ascii="Arial" w:hAnsi="Arial"/>
          <w:b/>
          <w:caps/>
          <w:color w:val="000000"/>
          <w:sz w:val="20"/>
        </w:rPr>
        <w:t>Article III</w:t>
      </w:r>
    </w:p>
    <w:p>
      <w:pPr>
        <w:pStyle w:val="TextBody"/>
        <w:bidi w:val="0"/>
        <w:spacing w:before="0" w:after="240"/>
        <w:jc w:val="center"/>
        <w:rPr>
          <w:rFonts w:ascii="Arial" w:hAnsi="Arial"/>
          <w:b/>
          <w:caps/>
          <w:color w:val="000000"/>
          <w:sz w:val="20"/>
        </w:rPr>
      </w:pPr>
      <w:r>
        <w:rPr>
          <w:rFonts w:ascii="Arial" w:hAnsi="Arial"/>
          <w:b/>
          <w:caps/>
          <w:color w:val="000000"/>
          <w:sz w:val="20"/>
        </w:rPr>
        <w:br/>
        <w:br/>
        <w:t>STOCKHOLDERS’ MEETINGS</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Place of Meetings.</w:t>
      </w:r>
      <w:r>
        <w:rPr>
          <w:color w:val="000000"/>
        </w:rPr>
        <w:t xml:space="preserve"> </w:t>
      </w:r>
      <w:r>
        <w:rPr>
          <w:rFonts w:ascii="Arial" w:hAnsi="Arial"/>
          <w:color w:val="000000"/>
          <w:sz w:val="20"/>
        </w:rPr>
        <w:t>Meetings of the stockholders of the corporation may be held at such place, if any, either within or without the State of Nevada, as may be determined from time to time by the Board of Directors. The Board of Directors may, in its sole discretion, determine that the meeting shall not be held at any place, but may instead be held solely by means of remote communication as provided under the Nevada Revised Statutes (as amended from time to time, the “NRS”) and Section 14 below.</w:t>
      </w:r>
    </w:p>
    <w:p>
      <w:pPr>
        <w:pStyle w:val="TextBody"/>
        <w:bidi w:val="0"/>
        <w:spacing w:before="0" w:after="240"/>
        <w:jc w:val="both"/>
        <w:rPr>
          <w:rFonts w:ascii="Arial" w:hAnsi="Arial"/>
          <w:b/>
          <w:color w:val="000000"/>
          <w:sz w:val="20"/>
        </w:rPr>
      </w:pPr>
      <w:r>
        <w:rPr>
          <w:rFonts w:ascii="Arial" w:hAnsi="Arial"/>
          <w:b/>
          <w:color w:val="000000"/>
          <w:sz w:val="20"/>
        </w:rPr>
        <w:t>Section 2.</w:t>
      </w:r>
    </w:p>
    <w:p>
      <w:pPr>
        <w:pStyle w:val="TextBody"/>
        <w:bidi w:val="0"/>
        <w:spacing w:before="0" w:after="240"/>
        <w:jc w:val="both"/>
        <w:rPr/>
      </w:pPr>
      <w:r>
        <w:rPr>
          <w:rFonts w:ascii="Arial" w:hAnsi="Arial"/>
          <w:b/>
          <w:color w:val="000000"/>
          <w:sz w:val="20"/>
        </w:rPr>
        <w:t>Annual Meetings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 xml:space="preserve">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 Directors or a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color w:val="000000"/>
          <w:sz w:val="20"/>
        </w:rPr>
      </w:pPr>
      <w:r>
        <w:rPr>
          <w:rFonts w:ascii="Arial" w:hAnsi="Arial"/>
          <w:color w:val="000000"/>
          <w:sz w:val="20"/>
        </w:rPr>
        <w:t>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 xml:space="preserve">At an annual meeting of the stockholders, only such business shall be conducted as is a proper matter for stockholder action under Nevada law, the corporation’s articles of incorporation (as amended and/or restated from time to time, the “Articles of Incorporation”) and these amended and restated bylaws (as further amended and/or restated from time to time, the “Bylaws”), and as shall have been properly brought before the meeting in accordance with the procedures below. </w:t>
      </w:r>
    </w:p>
    <w:p>
      <w:pPr>
        <w:pStyle w:val="TextBody"/>
        <w:bidi w:val="0"/>
        <w:spacing w:before="0" w:after="240"/>
        <w:jc w:val="both"/>
        <w:rPr>
          <w:rFonts w:ascii="Arial" w:hAnsi="Arial"/>
          <w:b/>
          <w:color w:val="000000"/>
          <w:sz w:val="20"/>
        </w:rPr>
      </w:pPr>
      <w:r>
        <w:rPr>
          <w:rFonts w:ascii="Arial" w:hAnsi="Arial"/>
          <w:b/>
          <w:color w:val="000000"/>
          <w:sz w:val="20"/>
        </w:rPr>
        <w:t>(i)</w:t>
      </w:r>
    </w:p>
    <w:p>
      <w:pPr>
        <w:pStyle w:val="TextBody"/>
        <w:bidi w:val="0"/>
        <w:spacing w:before="0" w:after="240"/>
        <w:jc w:val="both"/>
        <w:rPr>
          <w:rFonts w:ascii="Arial" w:hAnsi="Arial"/>
          <w:color w:val="000000"/>
          <w:sz w:val="20"/>
        </w:rPr>
      </w:pPr>
      <w:r>
        <w:rPr>
          <w:rFonts w:ascii="Arial" w:hAnsi="Arial"/>
          <w:color w:val="000000"/>
          <w:sz w:val="20"/>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a list of any pledge of or encumbrances on such shares, (4) the date or dates on which such shares were acquired and the investment intent of such acquisition, (5) the questionnaire, representations and agreements required by Section 5(c), completed and signed by such nominee that describes the statement that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this Section 5 (and such notice contains all of the information, representations, questionnaires and certifications with respect to such substitute nominee(s) that are required by the Bylaws with respect to nominees for director).</w:t>
      </w:r>
    </w:p>
    <w:p>
      <w:pPr>
        <w:pStyle w:val="TextBody"/>
        <w:bidi w:val="0"/>
        <w:spacing w:before="0" w:after="240"/>
        <w:jc w:val="both"/>
        <w:rPr>
          <w:rFonts w:ascii="Arial" w:hAnsi="Arial"/>
          <w:b/>
          <w:color w:val="000000"/>
          <w:sz w:val="20"/>
        </w:rPr>
      </w:pPr>
      <w:r>
        <w:rPr>
          <w:rFonts w:ascii="Arial" w:hAnsi="Arial"/>
          <w:b/>
          <w:color w:val="000000"/>
          <w:sz w:val="20"/>
        </w:rPr>
        <w:t>(ii)</w:t>
      </w:r>
    </w:p>
    <w:p>
      <w:pPr>
        <w:pStyle w:val="TextBody"/>
        <w:bidi w:val="0"/>
        <w:spacing w:before="0" w:after="240"/>
        <w:jc w:val="both"/>
        <w:rPr>
          <w:rFonts w:ascii="Arial" w:hAnsi="Arial"/>
          <w:color w:val="000000"/>
          <w:sz w:val="20"/>
        </w:rPr>
      </w:pPr>
      <w:r>
        <w:rPr>
          <w:rFonts w:ascii="Arial" w:hAnsi="Arial"/>
          <w:color w:val="000000"/>
          <w:sz w:val="20"/>
        </w:rPr>
        <w:t xml:space="preserve">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pPr>
      <w:r>
        <w:rPr>
          <w:rFonts w:ascii="Arial" w:hAnsi="Arial"/>
          <w:color w:val="000000"/>
          <w:sz w:val="20"/>
        </w:rPr>
        <w:t>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r>
        <w:rPr>
          <w:color w:val="000000"/>
        </w:rPr>
        <w:t xml:space="preserve"> </w:t>
      </w:r>
    </w:p>
    <w:p>
      <w:pPr>
        <w:pStyle w:val="TextBody"/>
        <w:bidi w:val="0"/>
        <w:spacing w:before="0" w:after="240"/>
        <w:jc w:val="both"/>
        <w:rPr>
          <w:rFonts w:ascii="Arial" w:hAnsi="Arial"/>
          <w:b/>
          <w:color w:val="000000"/>
          <w:sz w:val="20"/>
        </w:rPr>
      </w:pPr>
      <w:r>
        <w:rPr>
          <w:rFonts w:ascii="Arial" w:hAnsi="Arial"/>
          <w:b/>
          <w:color w:val="000000"/>
          <w:sz w:val="20"/>
        </w:rPr>
        <w:t>(iii)</w:t>
      </w:r>
    </w:p>
    <w:p>
      <w:pPr>
        <w:pStyle w:val="TextBody"/>
        <w:bidi w:val="0"/>
        <w:spacing w:before="0" w:after="240"/>
        <w:jc w:val="both"/>
        <w:rPr/>
      </w:pPr>
      <w:r>
        <w:rPr>
          <w:rFonts w:ascii="Arial" w:hAnsi="Arial"/>
          <w:color w:val="000000"/>
          <w:sz w:val="20"/>
        </w:rPr>
        <w:t>To be timely, the written notice required by Section 5(b)(i) or 5(b)(ii) must be received by the Secretary at the principal executive offices of the corporation not later than the close of business on the 90</w:t>
      </w:r>
      <w:r>
        <w:rPr>
          <w:rFonts w:ascii="Arial" w:hAnsi="Arial"/>
          <w:color w:val="000000"/>
          <w:sz w:val="13"/>
        </w:rPr>
        <w:t>th</w:t>
      </w:r>
      <w:r>
        <w:rPr>
          <w:color w:val="000000"/>
        </w:rPr>
        <w:t xml:space="preserve"> </w:t>
      </w:r>
      <w:r>
        <w:rPr>
          <w:rFonts w:ascii="Arial" w:hAnsi="Arial"/>
          <w:color w:val="000000"/>
          <w:sz w:val="20"/>
        </w:rPr>
        <w:t>day, nor earlier than the close of business on the 120</w:t>
      </w:r>
      <w:r>
        <w:rPr>
          <w:rFonts w:ascii="Arial" w:hAnsi="Arial"/>
          <w:color w:val="000000"/>
          <w:sz w:val="13"/>
        </w:rPr>
        <w:t>th</w:t>
      </w:r>
      <w:r>
        <w:rPr>
          <w:color w:val="000000"/>
        </w:rPr>
        <w:t xml:space="preserve"> </w:t>
      </w:r>
      <w:r>
        <w:rPr>
          <w:rFonts w:ascii="Arial" w:hAnsi="Arial"/>
          <w:color w:val="000000"/>
          <w:sz w:val="20"/>
        </w:rPr>
        <w:t xml:space="preserve">day, prior to the first anniversary of the immediately preceding year’s annual meeting (for purposes of notice required for action to be taken at the corporation’s first annual meeting of stockholders after its initial public offering of common stock, the date of the immediately preceding year’s annual meeting shall be deemed to have occurred on May 20 in such immediately preceding calendar year); </w:t>
      </w:r>
      <w:r>
        <w:rPr>
          <w:rFonts w:ascii="Arial" w:hAnsi="Arial"/>
          <w:i/>
          <w:color w:val="000000"/>
          <w:sz w:val="20"/>
        </w:rPr>
        <w:t>provided, however,</w:t>
      </w:r>
      <w:r>
        <w:rPr>
          <w:color w:val="000000"/>
        </w:rPr>
        <w:t xml:space="preserve"> </w:t>
      </w:r>
      <w:r>
        <w:rPr>
          <w:rFonts w:ascii="Arial" w:hAnsi="Arial"/>
          <w:color w:val="000000"/>
          <w:sz w:val="20"/>
        </w:rPr>
        <w:t>that, subject to the last sentence of this Section 5(b)(iii), in the event that (A) the date of the annual meeting is advanced more than 30 days prior to or delayed by more than 70 days after the anniversary of the preceding year’s annual meeting, notice by the stockholder to be timely must be so received not earlier than the close of business on the 120</w:t>
      </w:r>
      <w:r>
        <w:rPr>
          <w:rFonts w:ascii="Arial" w:hAnsi="Arial"/>
          <w:color w:val="000000"/>
          <w:sz w:val="13"/>
        </w:rPr>
        <w:t>th</w:t>
      </w:r>
      <w:r>
        <w:rPr>
          <w:color w:val="000000"/>
        </w:rPr>
        <w:t xml:space="preserve"> </w:t>
      </w:r>
      <w:r>
        <w:rPr>
          <w:rFonts w:ascii="Arial" w:hAnsi="Arial"/>
          <w:color w:val="000000"/>
          <w:sz w:val="20"/>
        </w:rPr>
        <w:t>day prior to such annual meeting and not later than the close of business on the later of the 90</w:t>
      </w:r>
      <w:r>
        <w:rPr>
          <w:rFonts w:ascii="Arial" w:hAnsi="Arial"/>
          <w:color w:val="000000"/>
          <w:sz w:val="13"/>
        </w:rPr>
        <w:t>th</w:t>
      </w:r>
      <w:r>
        <w:rPr>
          <w:color w:val="000000"/>
        </w:rPr>
        <w:t xml:space="preserve"> </w:t>
      </w:r>
      <w:r>
        <w:rPr>
          <w:rFonts w:ascii="Arial" w:hAnsi="Arial"/>
          <w:color w:val="000000"/>
          <w:sz w:val="20"/>
        </w:rPr>
        <w:t>day prior to such annual meeting or, if later than the 90</w:t>
      </w:r>
      <w:r>
        <w:rPr>
          <w:rFonts w:ascii="Arial" w:hAnsi="Arial"/>
          <w:color w:val="000000"/>
          <w:sz w:val="13"/>
        </w:rPr>
        <w:t>th</w:t>
      </w:r>
      <w:r>
        <w:rPr>
          <w:color w:val="000000"/>
        </w:rPr>
        <w:t xml:space="preserve"> </w:t>
      </w:r>
      <w:r>
        <w:rPr>
          <w:rFonts w:ascii="Arial" w:hAnsi="Arial"/>
          <w:color w:val="000000"/>
          <w:sz w:val="20"/>
        </w:rPr>
        <w:t>day prior to such annual meeting,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pStyle w:val="TextBody"/>
        <w:bidi w:val="0"/>
        <w:spacing w:before="0" w:after="240"/>
        <w:jc w:val="both"/>
        <w:rPr>
          <w:rFonts w:ascii="Arial" w:hAnsi="Arial"/>
          <w:b/>
          <w:color w:val="000000"/>
          <w:sz w:val="20"/>
        </w:rPr>
      </w:pPr>
      <w:r>
        <w:rPr>
          <w:rFonts w:ascii="Arial" w:hAnsi="Arial"/>
          <w:b/>
          <w:color w:val="000000"/>
          <w:sz w:val="20"/>
        </w:rPr>
        <w:t>(iv)</w:t>
      </w:r>
    </w:p>
    <w:p>
      <w:pPr>
        <w:pStyle w:val="TextBody"/>
        <w:bidi w:val="0"/>
        <w:spacing w:before="0" w:after="240"/>
        <w:jc w:val="both"/>
        <w:rPr>
          <w:rFonts w:ascii="Arial" w:hAnsi="Arial"/>
          <w:color w:val="000000"/>
          <w:sz w:val="20"/>
        </w:rPr>
      </w:pPr>
      <w:r>
        <w:rPr>
          <w:rFonts w:ascii="Arial" w:hAnsi="Arial"/>
          <w:color w:val="000000"/>
          <w:sz w:val="20"/>
        </w:rPr>
        <w:t xml:space="preserve">The written notice required by Section 5(b)(i) or 5(b)(ii) shall also set forth, as of the date of the notice and as to the stockholder giving the notice and the beneficial owner, if any, on whose behalf the nomination or proposal is made and any affiliate who controls either of the foregoing stockholder or beneficial owner, directly or indirectly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or any of its affiliates or associates has a right to acquire beneficial ownership whether immediately or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including without limitation, any agreements, arrangements or understandings required to be disclosed pursuant to Item 5 or Item 6 of Schedule 13D under the 1934 Act, regardless of whether the requirement to file a Schedule 13D is applicable;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(G) a description of all Derivative Transactions (as defined below) by each Proponent during the previous 12 month period, including the date of the transactions and the class, series and number of securities involved in, and the material economic terms of, such Derivative Transactions; (H) a representation whether any Proponent or any other participant (as defined in Item 4 of Schedule 14A under the 1934 Act) will engage in a solicitation with respect to such nomination or proposal and, if so, the name of each participant in such solicitation and the amount of the cost of solicitation that has been and will be borne, directly or indirectly, by each participant in such solicitation, and a representation as to whether the Proponents intend to be or are part of a group which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color w:val="000000"/>
          <w:sz w:val="20"/>
        </w:rPr>
      </w:pPr>
      <w:r>
        <w:rPr>
          <w:rFonts w:ascii="Arial" w:hAnsi="Arial"/>
          <w:color w:val="000000"/>
          <w:sz w:val="20"/>
        </w:rPr>
        <w:t>intends (x) 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(I) 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(J) 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rFonts w:ascii="Arial" w:hAnsi="Arial"/>
          <w:color w:val="000000"/>
          <w:sz w:val="20"/>
        </w:rPr>
      </w:pPr>
      <w:r>
        <w:rPr>
          <w:rFonts w:ascii="Arial" w:hAnsi="Arial"/>
          <w:color w:val="000000"/>
          <w:sz w:val="20"/>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 (or not later than the day prior to such adjourned or postponed meeting if there are fewer than two Business Days between the date for the meeting, or the date of the immediately preceding adjournment or postponement thereof, and the date for the adjourned or postponed meeting).</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pPr>
      <w:r>
        <w:rPr>
          <w:rFonts w:ascii="Arial" w:hAnsi="Arial"/>
          <w:color w:val="000000"/>
          <w:sz w:val="20"/>
        </w:rPr>
        <w:t>To be eligible to be a nominee for election or re-election as a director of the corporation pursuant to a nomination under clause (iii) of Section 5(a), each Proponent must deliver (in accordance with the time periods prescribed for delivery of notice under Sections 5(b)(iii) or 5(c),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 (i) is not and will not become a party to (A) any agreement, arrangement or understanding (whether oral or in writing) with, and has not given any commitment or assurance to, any person or entity as to how such person, if elected as a director of the corporation, will act or vote on any issue or question (a “Voting Commitment”) that has not been disclosed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 (iii)</w:t>
      </w:r>
      <w:r>
        <w:rPr>
          <w:color w:val="000000"/>
        </w:rPr>
        <w:t xml:space="preserve"> </w:t>
      </w:r>
      <w:r>
        <w:rPr>
          <w:rFonts w:ascii="Arial" w:hAnsi="Arial"/>
          <w:color w:val="000000"/>
          <w:sz w:val="20"/>
        </w:rPr>
        <w:t>would be in compliance, if elected as a director of the corporation, and will comply with, all applicable corporate governance, conflict of interest, confidentiality and stock ownership and trading policies and guidelines of the corporation that are publicly disclosed or which were provided by the Secretary with the written representation and agreement required by this Section 5(c); and (iv) if elected as a director of the corporation, intends to serve the entire term until the next meeting at which such candidate would face re-election.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(e)</w:t>
      </w:r>
    </w:p>
    <w:p>
      <w:pPr>
        <w:pStyle w:val="TextBody"/>
        <w:bidi w:val="0"/>
        <w:spacing w:before="0" w:after="240"/>
        <w:jc w:val="both"/>
        <w:rPr>
          <w:rFonts w:ascii="Arial" w:hAnsi="Arial"/>
          <w:color w:val="000000"/>
          <w:sz w:val="20"/>
        </w:rPr>
      </w:pPr>
      <w:r>
        <w:rPr>
          <w:rFonts w:ascii="Arial" w:hAnsi="Arial"/>
          <w:color w:val="000000"/>
          <w:sz w:val="20"/>
        </w:rPr>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 accordance with the procedures set forth in Section 5(b) and Section 5(c), as applicable. Notwithstanding anything to the contrary in the Bylaws, unless otherwise required by applicable law, in the event that any Proponent (i) provides notice pursuant to Rule 14a-19(b) promulgated under the 1934 Act with respect to one or more proposed nominees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fails to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Section 6(c).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(including, without limitation, compliance with Rule 14a-19 promulgated under the 1934 Act)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 For purposes of this Section 5(e), to be considered a qualified representative of the stockholder, a person must be a duly authorized officer, manager, trustee or partner of such stockholder or must be authorized by a writing executed by such stockholder or an electronic transmission delivered by such stockholder to act for such stockholder as proxy at the meeting of stockholders, and such writing or electronic transmission, or a reliable reproduction of the writing or electronic transmission, shall be provided to the Secretary of the corporation at least five Business Days prior to the meeting of stockholders.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(f)</w:t>
      </w:r>
    </w:p>
    <w:p>
      <w:pPr>
        <w:pStyle w:val="TextBody"/>
        <w:bidi w:val="0"/>
        <w:spacing w:before="0" w:after="240"/>
        <w:jc w:val="both"/>
        <w:rPr>
          <w:rFonts w:ascii="Arial" w:hAnsi="Arial"/>
          <w:color w:val="000000"/>
          <w:sz w:val="20"/>
        </w:rPr>
      </w:pPr>
      <w:r>
        <w:rPr>
          <w:rFonts w:ascii="Arial" w:hAnsi="Arial"/>
          <w:color w:val="000000"/>
          <w:sz w:val="20"/>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announcement is first made by the corporation.</w:t>
      </w:r>
    </w:p>
    <w:p>
      <w:pPr>
        <w:pStyle w:val="TextBody"/>
        <w:bidi w:val="0"/>
        <w:spacing w:before="0" w:after="240"/>
        <w:jc w:val="both"/>
        <w:rPr>
          <w:rFonts w:ascii="Arial" w:hAnsi="Arial"/>
          <w:b/>
          <w:color w:val="000000"/>
          <w:sz w:val="20"/>
        </w:rPr>
      </w:pPr>
      <w:r>
        <w:rPr>
          <w:rFonts w:ascii="Arial" w:hAnsi="Arial"/>
          <w:b/>
          <w:color w:val="000000"/>
          <w:sz w:val="20"/>
        </w:rPr>
        <w:t>(g)</w:t>
      </w:r>
    </w:p>
    <w:p>
      <w:pPr>
        <w:pStyle w:val="TextBody"/>
        <w:bidi w:val="0"/>
        <w:spacing w:before="0" w:after="240"/>
        <w:jc w:val="both"/>
        <w:rPr>
          <w:rFonts w:ascii="Arial" w:hAnsi="Arial"/>
          <w:color w:val="000000"/>
          <w:sz w:val="20"/>
        </w:rPr>
      </w:pPr>
      <w:r>
        <w:rPr>
          <w:rFonts w:ascii="Arial" w:hAnsi="Arial"/>
          <w:color w:val="000000"/>
          <w:sz w:val="20"/>
        </w:rPr>
        <w:t xml:space="preserve">For purposes of Sections 5 and 6, </w:t>
      </w:r>
    </w:p>
    <w:p>
      <w:pPr>
        <w:pStyle w:val="TextBody"/>
        <w:bidi w:val="0"/>
        <w:spacing w:before="0" w:after="240"/>
        <w:jc w:val="both"/>
        <w:rPr>
          <w:rFonts w:ascii="Arial" w:hAnsi="Arial"/>
          <w:b/>
          <w:color w:val="000000"/>
          <w:sz w:val="20"/>
        </w:rPr>
      </w:pPr>
      <w:r>
        <w:rPr>
          <w:rFonts w:ascii="Arial" w:hAnsi="Arial"/>
          <w:b/>
          <w:color w:val="000000"/>
          <w:sz w:val="20"/>
        </w:rPr>
        <w:t>(i)</w:t>
      </w:r>
    </w:p>
    <w:p>
      <w:pPr>
        <w:pStyle w:val="TextBody"/>
        <w:bidi w:val="0"/>
        <w:spacing w:before="0" w:after="240"/>
        <w:jc w:val="both"/>
        <w:rPr>
          <w:color w:val="000000"/>
        </w:rPr>
      </w:pPr>
      <w:r>
        <w:rPr>
          <w:color w:val="000000"/>
        </w:rPr>
        <w:t>“</w:t>
      </w:r>
      <w:r>
        <w:rPr>
          <w:rFonts w:ascii="Arial" w:hAnsi="Arial"/>
          <w:color w:val="000000"/>
          <w:sz w:val="20"/>
        </w:rPr>
        <w:t xml:space="preserve">affiliates” and “associates” shall have the meanings set forth in Rule 405 under the Securities Act of 1933, as amended (the “1933 Act”); </w:t>
      </w:r>
    </w:p>
    <w:p>
      <w:pPr>
        <w:pStyle w:val="TextBody"/>
        <w:bidi w:val="0"/>
        <w:spacing w:before="0" w:after="240"/>
        <w:jc w:val="both"/>
        <w:rPr>
          <w:rFonts w:ascii="Arial" w:hAnsi="Arial"/>
          <w:b/>
          <w:color w:val="000000"/>
          <w:sz w:val="20"/>
        </w:rPr>
      </w:pPr>
      <w:r>
        <w:rPr>
          <w:rFonts w:ascii="Arial" w:hAnsi="Arial"/>
          <w:b/>
          <w:color w:val="000000"/>
          <w:sz w:val="20"/>
        </w:rPr>
        <w:t>(ii)</w:t>
      </w:r>
    </w:p>
    <w:p>
      <w:pPr>
        <w:pStyle w:val="TextBody"/>
        <w:bidi w:val="0"/>
        <w:spacing w:before="0" w:after="240"/>
        <w:jc w:val="both"/>
        <w:rPr>
          <w:color w:val="000000"/>
        </w:rPr>
      </w:pPr>
      <w:r>
        <w:rPr>
          <w:color w:val="000000"/>
        </w:rPr>
        <w:t>“</w:t>
      </w:r>
      <w:r>
        <w:rPr>
          <w:rFonts w:ascii="Arial" w:hAnsi="Arial"/>
          <w:color w:val="000000"/>
          <w:sz w:val="20"/>
        </w:rPr>
        <w:t xml:space="preserve">Business Day” means any day other than Saturday, Sunday or a day on which banks are closed in New York City, New York; </w:t>
      </w:r>
    </w:p>
    <w:p>
      <w:pPr>
        <w:pStyle w:val="TextBody"/>
        <w:bidi w:val="0"/>
        <w:spacing w:before="0" w:after="240"/>
        <w:jc w:val="both"/>
        <w:rPr>
          <w:rFonts w:ascii="Arial" w:hAnsi="Arial"/>
          <w:b/>
          <w:color w:val="000000"/>
          <w:sz w:val="20"/>
        </w:rPr>
      </w:pPr>
      <w:r>
        <w:rPr>
          <w:rFonts w:ascii="Arial" w:hAnsi="Arial"/>
          <w:b/>
          <w:color w:val="000000"/>
          <w:sz w:val="20"/>
        </w:rPr>
        <w:t>(iii)</w:t>
      </w:r>
    </w:p>
    <w:p>
      <w:pPr>
        <w:pStyle w:val="TextBody"/>
        <w:bidi w:val="0"/>
        <w:spacing w:before="0" w:after="240"/>
        <w:jc w:val="both"/>
        <w:rPr>
          <w:color w:val="000000"/>
        </w:rPr>
      </w:pPr>
      <w:r>
        <w:rPr>
          <w:color w:val="000000"/>
        </w:rPr>
        <w:t>“</w:t>
      </w:r>
      <w:r>
        <w:rPr>
          <w:rFonts w:ascii="Arial" w:hAnsi="Arial"/>
          <w:color w:val="000000"/>
          <w:sz w:val="20"/>
        </w:rPr>
        <w:t>close of business” means 6:00 p.m. local time at the principal executive offices of the corporation on any calendar day, whether or not the day is a Business Day;</w:t>
      </w:r>
    </w:p>
    <w:p>
      <w:pPr>
        <w:pStyle w:val="TextBody"/>
        <w:bidi w:val="0"/>
        <w:spacing w:before="0" w:after="240"/>
        <w:jc w:val="both"/>
        <w:rPr>
          <w:rFonts w:ascii="Arial" w:hAnsi="Arial"/>
          <w:b/>
          <w:color w:val="000000"/>
          <w:sz w:val="20"/>
        </w:rPr>
      </w:pPr>
      <w:r>
        <w:rPr>
          <w:rFonts w:ascii="Arial" w:hAnsi="Arial"/>
          <w:b/>
          <w:color w:val="000000"/>
          <w:sz w:val="20"/>
        </w:rPr>
        <w:t>(iv)</w:t>
      </w:r>
    </w:p>
    <w:p>
      <w:pPr>
        <w:pStyle w:val="TextBody"/>
        <w:bidi w:val="0"/>
        <w:spacing w:before="0" w:after="240"/>
        <w:jc w:val="both"/>
        <w:rPr>
          <w:color w:val="000000"/>
        </w:rPr>
      </w:pPr>
      <w:r>
        <w:rPr>
          <w:color w:val="000000"/>
        </w:rPr>
        <w:t>“</w:t>
      </w:r>
      <w:r>
        <w:rPr>
          <w:rFonts w:ascii="Arial" w:hAnsi="Arial"/>
          <w:color w:val="000000"/>
          <w:sz w:val="20"/>
        </w:rPr>
        <w:t>Derivative Transaction” means any agreement, arrangement, interest or understanding entered into by, or on behalf or for the benefit of, any Proponent or any of its affiliates or associates, whether record or beneficial:</w:t>
      </w:r>
    </w:p>
    <w:p>
      <w:pPr>
        <w:pStyle w:val="TextBody"/>
        <w:bidi w:val="0"/>
        <w:spacing w:before="0" w:after="240"/>
        <w:jc w:val="both"/>
        <w:rPr>
          <w:rFonts w:ascii="Arial" w:hAnsi="Arial"/>
          <w:color w:val="000000"/>
          <w:sz w:val="20"/>
        </w:rPr>
      </w:pPr>
      <w:r>
        <w:rPr>
          <w:rFonts w:ascii="Arial" w:hAnsi="Arial"/>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 xml:space="preserve">the value of which is derived in whole or in part from the value of any class or series of shares or other securities of the corporation; </w:t>
      </w:r>
    </w:p>
    <w:p>
      <w:pPr>
        <w:pStyle w:val="TextBody"/>
        <w:bidi w:val="0"/>
        <w:spacing w:before="0" w:after="240"/>
        <w:jc w:val="both"/>
        <w:rPr>
          <w:rFonts w:ascii="Arial" w:hAnsi="Arial"/>
          <w:color w:val="000000"/>
          <w:sz w:val="20"/>
        </w:rPr>
      </w:pPr>
      <w:r>
        <w:rPr>
          <w:rFonts w:ascii="Arial" w:hAnsi="Arial"/>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that otherwise provides any direct or indirect opportunity to gain or share in any gain derived from a change in the value of securities of the corporation;</w:t>
      </w:r>
    </w:p>
    <w:p>
      <w:pPr>
        <w:pStyle w:val="TextBody"/>
        <w:bidi w:val="0"/>
        <w:spacing w:before="0" w:after="240"/>
        <w:jc w:val="both"/>
        <w:rPr>
          <w:rFonts w:ascii="Arial" w:hAnsi="Arial"/>
          <w:color w:val="000000"/>
          <w:sz w:val="20"/>
        </w:rPr>
      </w:pPr>
      <w:r>
        <w:rPr>
          <w:rFonts w:ascii="Arial" w:hAnsi="Arial"/>
          <w:color w:val="000000"/>
          <w:sz w:val="20"/>
        </w:rPr>
        <w:t>(C)</w:t>
      </w:r>
    </w:p>
    <w:p>
      <w:pPr>
        <w:pStyle w:val="TextBody"/>
        <w:bidi w:val="0"/>
        <w:spacing w:before="0" w:after="240"/>
        <w:jc w:val="both"/>
        <w:rPr>
          <w:rFonts w:ascii="Arial" w:hAnsi="Arial"/>
          <w:color w:val="000000"/>
          <w:sz w:val="20"/>
        </w:rPr>
      </w:pPr>
      <w:r>
        <w:rPr>
          <w:rFonts w:ascii="Arial" w:hAnsi="Arial"/>
          <w:color w:val="000000"/>
          <w:sz w:val="20"/>
        </w:rPr>
        <w:t xml:space="preserve">the effect or intent of which is to mitigate loss, manage risk or benefit from changes in value or price with respect to any securities of the corporation; or </w:t>
      </w:r>
    </w:p>
    <w:p>
      <w:pPr>
        <w:pStyle w:val="TextBody"/>
        <w:bidi w:val="0"/>
        <w:spacing w:before="0" w:after="240"/>
        <w:jc w:val="both"/>
        <w:rPr>
          <w:rFonts w:ascii="Arial" w:hAnsi="Arial"/>
          <w:color w:val="000000"/>
          <w:sz w:val="20"/>
        </w:rPr>
      </w:pPr>
      <w:r>
        <w:rPr>
          <w:rFonts w:ascii="Arial" w:hAnsi="Arial"/>
          <w:color w:val="000000"/>
          <w:sz w:val="20"/>
        </w:rPr>
        <w:t>(D)</w:t>
      </w:r>
    </w:p>
    <w:p>
      <w:pPr>
        <w:pStyle w:val="TextBody"/>
        <w:bidi w:val="0"/>
        <w:spacing w:before="0" w:after="240"/>
        <w:jc w:val="both"/>
        <w:rPr>
          <w:rFonts w:ascii="Arial" w:hAnsi="Arial"/>
          <w:color w:val="000000"/>
          <w:sz w:val="20"/>
        </w:rPr>
      </w:pPr>
      <w:r>
        <w:rPr>
          <w:rFonts w:ascii="Arial" w:hAnsi="Arial"/>
          <w:color w:val="000000"/>
          <w:sz w:val="20"/>
        </w:rPr>
        <w:t xml:space="preserve">that provides the right to vote or increase or decrease the voting power of, such Proponent, or any of its affiliates or associates, directly or indirectly, with respect to any securities of the corporation, </w:t>
      </w:r>
    </w:p>
    <w:p>
      <w:pPr>
        <w:pStyle w:val="TextBody"/>
        <w:bidi w:val="0"/>
        <w:spacing w:before="0" w:after="240"/>
        <w:jc w:val="both"/>
        <w:rPr>
          <w:rFonts w:ascii="Arial" w:hAnsi="Arial"/>
          <w:color w:val="000000"/>
          <w:sz w:val="20"/>
        </w:rPr>
      </w:pPr>
      <w:r>
        <w:rPr>
          <w:rFonts w:ascii="Arial" w:hAnsi="Arial"/>
          <w:color w:val="000000"/>
          <w:sz w:val="20"/>
        </w:rPr>
        <w:t>which agreement, arrangement, interest or understanding may include, without limitation, any option, warrant, debt position, note, bond, convertible security, swap, stock appreciation or similar right, short position, profit interest, hedge, right to dividends or other distributions,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pStyle w:val="TextBody"/>
        <w:bidi w:val="0"/>
        <w:spacing w:before="0" w:after="240"/>
        <w:jc w:val="both"/>
        <w:rPr>
          <w:rFonts w:ascii="Arial" w:hAnsi="Arial"/>
          <w:b/>
          <w:color w:val="000000"/>
          <w:sz w:val="20"/>
        </w:rPr>
      </w:pPr>
      <w:r>
        <w:rPr>
          <w:rFonts w:ascii="Arial" w:hAnsi="Arial"/>
          <w:b/>
          <w:color w:val="000000"/>
          <w:sz w:val="20"/>
        </w:rPr>
        <w:t>(v)</w:t>
      </w:r>
    </w:p>
    <w:p>
      <w:pPr>
        <w:pStyle w:val="TextBody"/>
        <w:bidi w:val="0"/>
        <w:spacing w:before="0" w:after="240"/>
        <w:jc w:val="both"/>
        <w:rPr>
          <w:color w:val="000000"/>
        </w:rPr>
      </w:pPr>
      <w:r>
        <w:rPr>
          <w:color w:val="000000"/>
        </w:rPr>
        <w:t>“</w:t>
      </w:r>
      <w:r>
        <w:rPr>
          <w:rFonts w:ascii="Arial" w:hAnsi="Arial"/>
          <w:color w:val="000000"/>
          <w:sz w:val="20"/>
        </w:rPr>
        <w:t xml:space="preserve">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Section 3.</w:t>
      </w:r>
    </w:p>
    <w:p>
      <w:pPr>
        <w:pStyle w:val="TextBody"/>
        <w:bidi w:val="0"/>
        <w:spacing w:before="0" w:after="240"/>
        <w:jc w:val="both"/>
        <w:rPr/>
      </w:pPr>
      <w:r>
        <w:rPr>
          <w:rFonts w:ascii="Arial" w:hAnsi="Arial"/>
          <w:b/>
          <w:color w:val="000000"/>
          <w:sz w:val="20"/>
        </w:rPr>
        <w:t>Special Meetings</w:t>
      </w:r>
      <w:r>
        <w:rPr>
          <w:rFonts w:ascii="Arial" w:hAnsi="Arial"/>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Special meetings of the stockholders of the corporation (i) may be called, for any purpose as is a proper matter for stockholder action under Nevada law,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(as defined in the Articles of Incorporation) shall be called, for any purpose as is a proper matter for stockholder action under Nevada law, by the Secretary of the corporation upon written request of stockholders of record entitled to cast not less than a majority of the votes at such special meeting, provided that such written request is in compliance with the requirements of Section 6(b) hereof (“Stockholder-Requested Meeting”).</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 xml:space="preserve">For a special meeting called pursuant to Section 6(a)(i), the Board of Directors shall determine the date, the time and place, if any, of such special meeting. Upon determination of the date, time and place, if any, of the meeting, the Secretary shall cause a notice of meeting to be given to the stockholders entitled to vote, in accordance with the provisions of Section 7. For a Stockholder-Requested Meeting, the request shall (i) be in writing, signed and dated by a stockholder of record, (ii) set forth the purpose of calling the special meeting and include the information required by the stockholder’s notice as set forth in Section 5(b)(i) and in Section 5(b)(ii) (for the proposal of business other than nominations) and (iii) be delivered personally or sent by certified or registered mail, return receipt requested, to the Secretary at the principal executive offices of the corporation. If the Board of Directors determines that a request pursuant to Section 6(a)(ii) is valid, the Board of Directors shall determine the date, time and place, if any, of a Stockholder-Requested Meeting, which time shall be not less than 30 days nor more than 90 days after the receipt of such request, and shall set a record date for the determination of stockholders entitled to vote at such meeting in the manner set forth in Section 38 hereof. Following determination of the time and place, if any, of the meeting, the Secretary shall cause a notice of meeting to be given to the stockholders entitled to vote, in accordance with the provisions of Section 7 of these Bylaws. No business may be transacted at a special meeting, including a Stockholder-Requested Meeting, otherwise than as specified in the notice of meeting. </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pPr>
      <w:r>
        <w:rPr>
          <w:rFonts w:ascii="Arial" w:hAnsi="Arial"/>
          <w:color w:val="000000"/>
          <w:sz w:val="20"/>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 meeting and who delivers written notice to the Secretary of the corporation setting forth the information required by Sections 5(b)(i) and 5(b)(iv). The number of nominees a stockholder may nominate for election at a special meeting on its own behalf (or in the case of a stockholder giving the notice on behalf of a beneficial owner, the number of nominees a stockholder may nominate for election at a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5(b)(iv) shall be received by the Secretary at the principal executive offices of the corporation not earlier than 120 days prior to such special meeting and not later than the close of business on the later of the 90</w:t>
      </w:r>
      <w:r>
        <w:rPr>
          <w:rFonts w:ascii="Arial" w:hAnsi="Arial"/>
          <w:color w:val="000000"/>
          <w:sz w:val="13"/>
        </w:rPr>
        <w:t>th</w:t>
      </w:r>
      <w:r>
        <w:rPr>
          <w:color w:val="000000"/>
        </w:rPr>
        <w:t xml:space="preserve"> </w:t>
      </w:r>
      <w:r>
        <w:rPr>
          <w:rFonts w:ascii="Arial" w:hAnsi="Arial"/>
          <w:color w:val="000000"/>
          <w:sz w:val="20"/>
        </w:rPr>
        <w:t xml:space="preserve">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rFonts w:ascii="Arial" w:hAnsi="Arial"/>
          <w:color w:val="000000"/>
          <w:sz w:val="20"/>
        </w:rPr>
      </w:pPr>
      <w:r>
        <w:rPr>
          <w:rFonts w:ascii="Arial" w:hAnsi="Arial"/>
          <w:color w:val="000000"/>
          <w:sz w:val="20"/>
        </w:rPr>
        <w:t>A person shall not be eligible for election or re-election as a director at the special meeting unless the person is nominated either in accordance with clause (i) or clause (ii) of Section 6(c). Except as otherwise required by applicable law, the chairperson of the meeting shall have the power and duty to determine whether a nomination was made in accordance with the procedures and requirements set forth in these Bylaws and, if any proposed nomination or business is not in compliance with these Bylaws (including, without limitation, compliance with Rule 14a-19 under the 1934 Act), or if the Proponent does not act in accordance with the representations in Sections 5(b)(iv)(D) and 5(b)(iv)(E),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5(d))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w:t>
      </w:r>
    </w:p>
    <w:p>
      <w:pPr>
        <w:pStyle w:val="TextBody"/>
        <w:bidi w:val="0"/>
        <w:spacing w:before="0" w:after="240"/>
        <w:jc w:val="both"/>
        <w:rPr>
          <w:rFonts w:ascii="Arial" w:hAnsi="Arial"/>
          <w:b/>
          <w:color w:val="000000"/>
          <w:sz w:val="20"/>
        </w:rPr>
      </w:pPr>
      <w:r>
        <w:rPr>
          <w:rFonts w:ascii="Arial" w:hAnsi="Arial"/>
          <w:b/>
          <w:color w:val="000000"/>
          <w:sz w:val="20"/>
        </w:rPr>
        <w:t>(e)</w:t>
      </w:r>
    </w:p>
    <w:p>
      <w:pPr>
        <w:pStyle w:val="TextBody"/>
        <w:bidi w:val="0"/>
        <w:spacing w:before="0" w:after="240"/>
        <w:jc w:val="both"/>
        <w:rPr/>
      </w:pPr>
      <w:r>
        <w:rPr>
          <w:rFonts w:ascii="Arial" w:hAnsi="Arial"/>
          <w:color w:val="000000"/>
          <w:sz w:val="20"/>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hAnsi="Arial"/>
          <w:i/>
          <w:color w:val="000000"/>
          <w:sz w:val="20"/>
        </w:rPr>
        <w:t xml:space="preserve">provided, however, </w:t>
      </w:r>
      <w:r>
        <w:rPr>
          <w:rFonts w:ascii="Arial" w:hAnsi="Arial"/>
          <w:color w:val="000000"/>
          <w:sz w:val="20"/>
        </w:rPr>
        <w:t>that any references in these Bylaws to the 1934 Act or the rules and regulations thereunder are not intended to and shall not limit the requirements applicable to nominations for the election to the Board of Directors to be considered pursuant to Section 6(c).</w:t>
      </w:r>
    </w:p>
    <w:p>
      <w:pPr>
        <w:pStyle w:val="TextBody"/>
        <w:bidi w:val="0"/>
        <w:spacing w:before="0" w:after="240"/>
        <w:jc w:val="both"/>
        <w:rPr>
          <w:rFonts w:ascii="Arial" w:hAnsi="Arial"/>
          <w:b/>
          <w:color w:val="000000"/>
          <w:sz w:val="20"/>
        </w:rPr>
      </w:pPr>
      <w:r>
        <w:rPr>
          <w:rFonts w:ascii="Arial" w:hAnsi="Arial"/>
          <w:b/>
          <w:color w:val="000000"/>
          <w:sz w:val="20"/>
        </w:rPr>
        <w:t>Section 4.</w:t>
      </w:r>
    </w:p>
    <w:p>
      <w:pPr>
        <w:pStyle w:val="TextBody"/>
        <w:bidi w:val="0"/>
        <w:spacing w:before="0" w:after="240"/>
        <w:jc w:val="both"/>
        <w:rPr/>
      </w:pPr>
      <w:r>
        <w:rPr>
          <w:rFonts w:ascii="Arial" w:hAnsi="Arial"/>
          <w:b/>
          <w:color w:val="000000"/>
          <w:sz w:val="20"/>
        </w:rPr>
        <w:t>Notice of Meetings. Except as otherwise provided by applicable law, notice, given in writing or by electronic transmission, of each meeting of stockholders shall be given not less than ten nor more than 60 days before the date of the meeting to each stockholder entitled to vote at such meeting</w:t>
      </w:r>
      <w:r>
        <w:rPr>
          <w:rFonts w:ascii="Arial" w:hAnsi="Arial"/>
          <w:color w:val="000000"/>
          <w:sz w:val="20"/>
        </w:rPr>
        <w:t>.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Notwithstanding anything to the contrary in these Bylaws, any notice of a meeting of stockholders delivered pursuant to and in accordance with NRS 78.370(9) shall be deemed to have satisfied any and all requirements applicable to such notice under these Bylaws.</w:t>
      </w:r>
    </w:p>
    <w:p>
      <w:pPr>
        <w:pStyle w:val="TextBody"/>
        <w:bidi w:val="0"/>
        <w:spacing w:before="0" w:after="240"/>
        <w:jc w:val="both"/>
        <w:rPr>
          <w:rFonts w:ascii="Arial" w:hAnsi="Arial"/>
          <w:b/>
          <w:color w:val="000000"/>
          <w:sz w:val="20"/>
        </w:rPr>
      </w:pPr>
      <w:r>
        <w:rPr>
          <w:rFonts w:ascii="Arial" w:hAnsi="Arial"/>
          <w:b/>
          <w:color w:val="000000"/>
          <w:sz w:val="20"/>
        </w:rPr>
        <w:t>Section 5.</w:t>
      </w:r>
    </w:p>
    <w:p>
      <w:pPr>
        <w:pStyle w:val="TextBody"/>
        <w:bidi w:val="0"/>
        <w:spacing w:before="0" w:after="240"/>
        <w:jc w:val="both"/>
        <w:rPr/>
      </w:pPr>
      <w:r>
        <w:rPr>
          <w:rFonts w:ascii="Arial" w:hAnsi="Arial"/>
          <w:b/>
          <w:color w:val="000000"/>
          <w:sz w:val="20"/>
        </w:rPr>
        <w:t>Quorum and Vote Required.</w:t>
      </w:r>
      <w:r>
        <w:rPr>
          <w:color w:val="000000"/>
        </w:rPr>
        <w:t xml:space="preserve"> </w:t>
      </w:r>
      <w:r>
        <w:rPr>
          <w:rFonts w:ascii="Arial" w:hAnsi="Arial"/>
          <w:color w:val="000000"/>
          <w:sz w:val="20"/>
        </w:rPr>
        <w:t xml:space="preserve">At all meetings of stockholders, except where otherwise provided by the NRS or by the Articles of Incorporation, or by these Bylaws, the presence, in person, by remote communication, if applicable, or by proxy duly authorized (regardless of whether the proxy has authority to vote on any matter), of the holders of a majority of the voting power of the outstanding shares of stock entitled to vote at the meeting shall constitute a quorum for the transaction of business. In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pPr>
      <w:r>
        <w:rPr>
          <w:rFonts w:ascii="Arial" w:hAnsi="Arial"/>
          <w:color w:val="000000"/>
          <w:sz w:val="20"/>
        </w:rPr>
        <w:t>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r>
        <w:rPr>
          <w:color w:val="000000"/>
        </w:rPr>
        <w:t xml:space="preserve"> </w:t>
      </w:r>
      <w:r>
        <w:rPr>
          <w:rFonts w:ascii="Arial" w:hAnsi="Arial"/>
          <w:color w:val="000000"/>
          <w:sz w:val="20"/>
        </w:rPr>
        <w:t>Except as otherwise provided by the NRS or by applicable stock exchange rules, or by the Articles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the NRS, the Articles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NRS or by the Articles of Incorporation or these Bylaws or any applicable stock exchange rules, a majority of the voting power of the outstanding shares of such class or classes or series, present in person, by remote communication, if applicable, or represented by proxy duly authorized (regardless of whether the proxy has authority to vote on any matter), shall constitute a quorum entitled to take action with respect to that vote on that matter. Except where otherwise provided by the NRS or by the Articles of Incorporation or these Bylaws or any applicable stock exchange rules, the affirmative vote of the holders of a majority (or a plurality, in the case of the election of directors) of the voting power of the shares of such class or classes or series present in person, by remote communication, if applicable, or represented by proxy at the meeting and voting affirmatively or negatively (excluding abstentions and broker non-votes) on such matter shall be the act of such class or classes or series.</w:t>
      </w:r>
      <w:r>
        <w:rPr>
          <w:color w:val="000000"/>
        </w:rPr>
        <w:t xml:space="preserve"> </w:t>
      </w:r>
    </w:p>
    <w:p>
      <w:pPr>
        <w:pStyle w:val="TextBody"/>
        <w:bidi w:val="0"/>
        <w:spacing w:before="0" w:after="240"/>
        <w:jc w:val="both"/>
        <w:rPr>
          <w:rFonts w:ascii="Arial" w:hAnsi="Arial"/>
          <w:b/>
          <w:color w:val="000000"/>
          <w:sz w:val="20"/>
        </w:rPr>
      </w:pPr>
      <w:r>
        <w:rPr>
          <w:rFonts w:ascii="Arial" w:hAnsi="Arial"/>
          <w:b/>
          <w:color w:val="000000"/>
          <w:sz w:val="20"/>
        </w:rPr>
        <w:t>Section 6.</w:t>
      </w:r>
    </w:p>
    <w:p>
      <w:pPr>
        <w:pStyle w:val="TextBody"/>
        <w:bidi w:val="0"/>
        <w:spacing w:before="0" w:after="240"/>
        <w:jc w:val="both"/>
        <w:rPr/>
      </w:pPr>
      <w:r>
        <w:rPr>
          <w:rFonts w:ascii="Arial" w:hAnsi="Arial"/>
          <w:b/>
          <w:color w:val="000000"/>
          <w:sz w:val="20"/>
        </w:rPr>
        <w:t>Adjournment or Postponement and Notice of Adjourned or Postponed Meetings.</w:t>
      </w:r>
      <w:r>
        <w:rPr>
          <w:color w:val="000000"/>
        </w:rPr>
        <w:t xml:space="preserve"> </w:t>
      </w:r>
      <w:r>
        <w:rPr>
          <w:rFonts w:ascii="Arial" w:hAnsi="Arial"/>
          <w:color w:val="000000"/>
          <w:sz w:val="20"/>
        </w:rPr>
        <w:t xml:space="preserve">Any meeting of stockholders, whether annual or special, may be postponed by the Board of Directors or adjourned from 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date,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7. At any postponed or adjourned meeting, the corporation may transact any business that might have been transacted at the original meeting. If the adjournment or postponement is for more than 60 days from the meeting date set for the original meeting, the Board of Directors must fix a new record date and a notice of the adjourned or postponed meeting shall be given to each stockholder of record entitled to vote at the adjourned or postponed meeting. If after the adjournment or postponement a new record date for determination of stockholders entitled to vote is fixed for the adjourned or postponed meeting, the Board of Directors shall give notice of the adjourned or postponed meeting to each stockholder of record as of the new record date so fixed for notice of such adjourned or postponed meeting. </w:t>
      </w:r>
    </w:p>
    <w:p>
      <w:pPr>
        <w:pStyle w:val="TextBody"/>
        <w:bidi w:val="0"/>
        <w:spacing w:before="0" w:after="240"/>
        <w:jc w:val="both"/>
        <w:rPr>
          <w:rFonts w:ascii="Arial" w:hAnsi="Arial"/>
          <w:b/>
          <w:color w:val="000000"/>
          <w:sz w:val="20"/>
        </w:rPr>
      </w:pPr>
      <w:r>
        <w:rPr>
          <w:rFonts w:ascii="Arial" w:hAnsi="Arial"/>
          <w:b/>
          <w:color w:val="000000"/>
          <w:sz w:val="20"/>
        </w:rPr>
        <w:t>Section 7.</w:t>
      </w:r>
    </w:p>
    <w:p>
      <w:pPr>
        <w:pStyle w:val="TextBody"/>
        <w:bidi w:val="0"/>
        <w:spacing w:before="0" w:after="240"/>
        <w:jc w:val="both"/>
        <w:rPr/>
      </w:pPr>
      <w:r>
        <w:rPr>
          <w:rFonts w:ascii="Arial" w:hAnsi="Arial"/>
          <w:b/>
          <w:color w:val="000000"/>
          <w:sz w:val="20"/>
        </w:rPr>
        <w:t>Voting Rights.</w:t>
      </w:r>
      <w:r>
        <w:rPr>
          <w:color w:val="000000"/>
        </w:rPr>
        <w:t xml:space="preserve"> </w:t>
      </w:r>
      <w:r>
        <w:rPr>
          <w:rFonts w:ascii="Arial" w:hAnsi="Arial"/>
          <w:color w:val="000000"/>
          <w:sz w:val="20"/>
        </w:rPr>
        <w:t>For the purpose of determining those stockholders entitled to notice of and to vote at any meeting of the stockholders, or any postponement or adjournment thereof, except as otherwise provided by applicable law, only persons in whose names shares stand on the stock records of the corporation on the record date shall be entitled to vote at any meeting of stockholders. Every person entitled to vote</w:t>
      </w:r>
      <w:r>
        <w:rPr>
          <w:smallCaps/>
          <w:color w:val="000000"/>
        </w:rPr>
        <w:t xml:space="preserve"> </w:t>
      </w:r>
      <w:r>
        <w:rPr>
          <w:rFonts w:ascii="Arial" w:hAnsi="Arial"/>
          <w:color w:val="000000"/>
          <w:sz w:val="20"/>
        </w:rPr>
        <w:t xml:space="preserve">shall have the right to do so either in person, by remote communication, if applicable, or by an agent or agents authorized by a proxy granted in accordance with Nevada law. An agent so appointed need not be a stockholder. No proxy shall be voted after six months from its date of creation unless the proxy provides for a longer period, which may not exceed seven years. A proxy shall be irrevocable if it states that it is irrevocable and if, and only as long as, it is coupled with an interest sufficient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pPr>
      <w:r>
        <w:rPr>
          <w:rFonts w:ascii="Arial" w:hAnsi="Arial"/>
          <w:color w:val="000000"/>
          <w:sz w:val="20"/>
        </w:rPr>
        <w:t>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Any stockholder directly or indirectly soliciting proxies from other stockholders must use a proxy card color other than white, which shall be reserved for the exclusive use of the Board of Directors.</w:t>
      </w:r>
      <w:r>
        <w:rPr>
          <w:color w:val="000000"/>
        </w:rPr>
        <w:t xml:space="preserve"> </w:t>
      </w:r>
    </w:p>
    <w:p>
      <w:pPr>
        <w:pStyle w:val="TextBody"/>
        <w:bidi w:val="0"/>
        <w:spacing w:before="0" w:after="240"/>
        <w:jc w:val="both"/>
        <w:rPr>
          <w:rFonts w:ascii="Arial" w:hAnsi="Arial"/>
          <w:b/>
          <w:color w:val="000000"/>
          <w:sz w:val="20"/>
        </w:rPr>
      </w:pPr>
      <w:r>
        <w:rPr>
          <w:rFonts w:ascii="Arial" w:hAnsi="Arial"/>
          <w:b/>
          <w:color w:val="000000"/>
          <w:sz w:val="20"/>
        </w:rPr>
        <w:t>Section 8.</w:t>
      </w:r>
    </w:p>
    <w:p>
      <w:pPr>
        <w:pStyle w:val="TextBody"/>
        <w:bidi w:val="0"/>
        <w:spacing w:before="0" w:after="240"/>
        <w:jc w:val="both"/>
        <w:rPr/>
      </w:pPr>
      <w:r>
        <w:rPr>
          <w:rFonts w:ascii="Arial" w:hAnsi="Arial"/>
          <w:b/>
          <w:color w:val="000000"/>
          <w:sz w:val="20"/>
        </w:rPr>
        <w:t>Joint Owners of Stock.</w:t>
      </w:r>
      <w:r>
        <w:rPr>
          <w:color w:val="000000"/>
        </w:rPr>
        <w:t xml:space="preserve"> </w:t>
      </w:r>
      <w:r>
        <w:rPr>
          <w:rFonts w:ascii="Arial" w:hAnsi="Arial"/>
          <w:color w:val="000000"/>
          <w:sz w:val="20"/>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 split on any particular matter, each faction may vote the securities in question proportionally. If the instrument filed with the Secretary shows that any such tenancy is held in unequal interests, a majority or even-split for the purpose of subsection (c) shall be a majority or even-split in interest.</w:t>
      </w:r>
    </w:p>
    <w:p>
      <w:pPr>
        <w:pStyle w:val="TextBody"/>
        <w:bidi w:val="0"/>
        <w:spacing w:before="0" w:after="240"/>
        <w:jc w:val="both"/>
        <w:rPr>
          <w:rFonts w:ascii="Arial" w:hAnsi="Arial"/>
          <w:b/>
          <w:color w:val="000000"/>
          <w:sz w:val="20"/>
        </w:rPr>
      </w:pPr>
      <w:r>
        <w:rPr>
          <w:rFonts w:ascii="Arial" w:hAnsi="Arial"/>
          <w:b/>
          <w:color w:val="000000"/>
          <w:sz w:val="20"/>
        </w:rPr>
        <w:t>Section 9.</w:t>
      </w:r>
    </w:p>
    <w:p>
      <w:pPr>
        <w:pStyle w:val="TextBody"/>
        <w:bidi w:val="0"/>
        <w:spacing w:before="0" w:after="240"/>
        <w:jc w:val="both"/>
        <w:rPr>
          <w:rFonts w:ascii="Arial" w:hAnsi="Arial"/>
          <w:b/>
          <w:color w:val="000000"/>
          <w:sz w:val="20"/>
        </w:rPr>
      </w:pPr>
      <w:r>
        <w:rPr>
          <w:rFonts w:ascii="Arial" w:hAnsi="Arial"/>
          <w:b/>
          <w:color w:val="000000"/>
          <w:sz w:val="20"/>
        </w:rPr>
        <w:t xml:space="preserve">Reserved. </w:t>
      </w:r>
    </w:p>
    <w:p>
      <w:pPr>
        <w:pStyle w:val="TextBody"/>
        <w:bidi w:val="0"/>
        <w:spacing w:before="0" w:after="240"/>
        <w:jc w:val="both"/>
        <w:rPr>
          <w:rFonts w:ascii="Arial" w:hAnsi="Arial"/>
          <w:b/>
          <w:color w:val="000000"/>
          <w:sz w:val="20"/>
        </w:rPr>
      </w:pPr>
      <w:r>
        <w:rPr>
          <w:rFonts w:ascii="Arial" w:hAnsi="Arial"/>
          <w:b/>
          <w:color w:val="000000"/>
          <w:sz w:val="20"/>
        </w:rPr>
        <w:t>Section 10.</w:t>
      </w:r>
    </w:p>
    <w:p>
      <w:pPr>
        <w:pStyle w:val="TextBody"/>
        <w:bidi w:val="0"/>
        <w:spacing w:before="0" w:after="240"/>
        <w:jc w:val="both"/>
        <w:rPr/>
      </w:pPr>
      <w:r>
        <w:rPr>
          <w:rFonts w:ascii="Arial" w:hAnsi="Arial"/>
          <w:b/>
          <w:color w:val="000000"/>
          <w:sz w:val="20"/>
        </w:rPr>
        <w:t>Action without Meeting</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Unless otherwise provided in the Articles of Incorporation, any action required by the NRS to be taken at any annual or special meeting of the stockholders, or any action which may be taken at any annual or special meeting of the stockholders, may, until the Final Conversion Date (as defined in the Articles of Incorporation),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Following the Final Conversion Date, no action shall be taken by the stockholders of the Corporation except at an annual or special meeting of stockholders called in accordance with the Bylaws and no action shall be taken by the stockholders by written consent.</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In order that the corporation may determine the stockholders entitled to consent to corporate action in writing without a meeting, so long as such action is provided for,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regardless of the effective date of the resolution. Any stockholder of record seeking to have the stockholders authorize or take corporate action by written consent may, by written notice to the Secretary, request the Board of Directors to fix a record date. The Board of Directors shall promptly, but in all events within ten days after the date on which such a request is received, adopt a resolution fixing the record date. If no request to fix a record date is made or no record date has been fixed by the Board of Directors within ten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Nevada,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pStyle w:val="TextBody"/>
        <w:bidi w:val="0"/>
        <w:spacing w:before="0" w:after="240"/>
        <w:jc w:val="both"/>
        <w:rPr>
          <w:rFonts w:ascii="Arial" w:hAnsi="Arial"/>
          <w:b/>
          <w:color w:val="000000"/>
          <w:sz w:val="20"/>
        </w:rPr>
      </w:pPr>
      <w:r>
        <w:rPr>
          <w:rFonts w:ascii="Arial" w:hAnsi="Arial"/>
          <w:b/>
          <w:color w:val="000000"/>
          <w:sz w:val="20"/>
        </w:rPr>
        <w:t>Section 11.</w:t>
      </w:r>
    </w:p>
    <w:p>
      <w:pPr>
        <w:pStyle w:val="TextBody"/>
        <w:bidi w:val="0"/>
        <w:spacing w:before="0" w:after="240"/>
        <w:jc w:val="both"/>
        <w:rPr/>
      </w:pPr>
      <w:r>
        <w:rPr>
          <w:rFonts w:ascii="Arial" w:hAnsi="Arial"/>
          <w:b/>
          <w:color w:val="000000"/>
          <w:sz w:val="20"/>
        </w:rPr>
        <w:t>Remote Communication; Delivery to the Corporation</w:t>
      </w:r>
      <w:r>
        <w:rPr>
          <w:rFonts w:ascii="Arial" w:hAnsi="Arial"/>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For the purposes of these Bylaws, if authorized by the Board of Directors in its sole discretion, and subject to such guidelines and procedures as the Board of Directors may adopt, stockholders and proxyholders may, by means of remote communication:</w:t>
      </w:r>
    </w:p>
    <w:p>
      <w:pPr>
        <w:pStyle w:val="TextBody"/>
        <w:bidi w:val="0"/>
        <w:spacing w:before="0" w:after="240"/>
        <w:jc w:val="both"/>
        <w:rPr>
          <w:rFonts w:ascii="Arial" w:hAnsi="Arial"/>
          <w:b/>
          <w:color w:val="000000"/>
          <w:sz w:val="20"/>
        </w:rPr>
      </w:pPr>
      <w:r>
        <w:rPr>
          <w:rFonts w:ascii="Arial" w:hAnsi="Arial"/>
          <w:b/>
          <w:color w:val="000000"/>
          <w:sz w:val="20"/>
        </w:rPr>
        <w:t>(i)</w:t>
      </w:r>
    </w:p>
    <w:p>
      <w:pPr>
        <w:pStyle w:val="TextBody"/>
        <w:bidi w:val="0"/>
        <w:spacing w:before="0" w:after="240"/>
        <w:jc w:val="both"/>
        <w:rPr>
          <w:rFonts w:ascii="Arial" w:hAnsi="Arial"/>
          <w:color w:val="000000"/>
          <w:sz w:val="20"/>
        </w:rPr>
      </w:pPr>
      <w:r>
        <w:rPr>
          <w:rFonts w:ascii="Arial" w:hAnsi="Arial"/>
          <w:color w:val="000000"/>
          <w:sz w:val="20"/>
        </w:rPr>
        <w:t>participate in a meeting of stockholders; and</w:t>
      </w:r>
    </w:p>
    <w:p>
      <w:pPr>
        <w:pStyle w:val="TextBody"/>
        <w:bidi w:val="0"/>
        <w:spacing w:before="0" w:after="240"/>
        <w:jc w:val="both"/>
        <w:rPr>
          <w:rFonts w:ascii="Arial" w:hAnsi="Arial"/>
          <w:b/>
          <w:color w:val="000000"/>
          <w:sz w:val="20"/>
        </w:rPr>
      </w:pPr>
      <w:r>
        <w:rPr>
          <w:rFonts w:ascii="Arial" w:hAnsi="Arial"/>
          <w:b/>
          <w:color w:val="000000"/>
          <w:sz w:val="20"/>
        </w:rPr>
        <w:t>(ii)</w:t>
      </w:r>
    </w:p>
    <w:p>
      <w:pPr>
        <w:pStyle w:val="TextBody"/>
        <w:bidi w:val="0"/>
        <w:spacing w:before="0" w:after="240"/>
        <w:jc w:val="both"/>
        <w:rPr>
          <w:rFonts w:ascii="Arial" w:hAnsi="Arial"/>
          <w:color w:val="000000"/>
          <w:sz w:val="20"/>
        </w:rPr>
      </w:pPr>
      <w:r>
        <w:rPr>
          <w:rFonts w:ascii="Arial" w:hAnsi="Arial"/>
          <w:color w:val="000000"/>
          <w:sz w:val="20"/>
        </w:rPr>
        <w:t xml:space="preserve">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Whenever Section 5 or 6 requires one or more persons (including a record or beneficial owner of capital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pStyle w:val="TextBody"/>
        <w:bidi w:val="0"/>
        <w:spacing w:before="0" w:after="240"/>
        <w:jc w:val="both"/>
        <w:rPr>
          <w:rFonts w:ascii="Arial" w:hAnsi="Arial"/>
          <w:b/>
          <w:color w:val="000000"/>
          <w:sz w:val="20"/>
        </w:rPr>
      </w:pPr>
      <w:r>
        <w:rPr>
          <w:rFonts w:ascii="Arial" w:hAnsi="Arial"/>
          <w:b/>
          <w:color w:val="000000"/>
          <w:sz w:val="20"/>
        </w:rPr>
        <w:t>Section 12.</w:t>
      </w:r>
    </w:p>
    <w:p>
      <w:pPr>
        <w:pStyle w:val="TextBody"/>
        <w:bidi w:val="0"/>
        <w:spacing w:before="0" w:after="240"/>
        <w:jc w:val="both"/>
        <w:rPr/>
      </w:pPr>
      <w:r>
        <w:rPr>
          <w:rFonts w:ascii="Arial" w:hAnsi="Arial"/>
          <w:b/>
          <w:color w:val="000000"/>
          <w:sz w:val="20"/>
        </w:rPr>
        <w:t>Organization</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pPr>
      <w:r>
        <w:rPr>
          <w:rFonts w:ascii="Arial" w:hAnsi="Arial"/>
          <w:color w:val="000000"/>
          <w:sz w:val="20"/>
        </w:rPr>
        <w:t>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 (3) count all votes and ballots; (4) 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pertaining to the authority of proxies in accordance with NRS 78.355, or any identify verification information provided pursuant to NRS 78.320,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w:t>
      </w:r>
      <w:r>
        <w:rPr>
          <w:color w:val="000000"/>
        </w:rPr>
        <w:t xml:space="preserve"> </w:t>
      </w:r>
      <w:r>
        <w:rPr>
          <w:rFonts w:ascii="Arial" w:hAnsi="Arial"/>
          <w:color w:val="000000"/>
          <w:sz w:val="20"/>
        </w:rPr>
        <w:t xml:space="preserve">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 </w:t>
      </w:r>
    </w:p>
    <w:p>
      <w:pPr>
        <w:pStyle w:val="TextBody"/>
        <w:bidi w:val="0"/>
        <w:spacing w:before="0" w:after="240"/>
        <w:jc w:val="center"/>
        <w:rPr>
          <w:rFonts w:ascii="Arial" w:hAnsi="Arial"/>
          <w:b/>
          <w:caps/>
          <w:color w:val="000000"/>
          <w:sz w:val="20"/>
        </w:rPr>
      </w:pPr>
      <w:r>
        <w:rPr>
          <w:rFonts w:ascii="Arial" w:hAnsi="Arial"/>
          <w:b/>
          <w:caps/>
          <w:color w:val="000000"/>
          <w:sz w:val="20"/>
        </w:rPr>
        <w:t>Article IV</w:t>
      </w:r>
    </w:p>
    <w:p>
      <w:pPr>
        <w:pStyle w:val="TextBody"/>
        <w:bidi w:val="0"/>
        <w:spacing w:before="0" w:after="240"/>
        <w:jc w:val="center"/>
        <w:rPr>
          <w:rFonts w:ascii="Arial" w:hAnsi="Arial"/>
          <w:b/>
          <w:caps/>
          <w:color w:val="000000"/>
          <w:sz w:val="20"/>
        </w:rPr>
      </w:pPr>
      <w:r>
        <w:rPr>
          <w:rFonts w:ascii="Arial" w:hAnsi="Arial"/>
          <w:b/>
          <w:caps/>
          <w:color w:val="000000"/>
          <w:sz w:val="20"/>
        </w:rPr>
        <w:br/>
        <w:br/>
        <w:t>DIRECTORS</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Number and Term of Office.</w:t>
      </w:r>
      <w:r>
        <w:rPr>
          <w:color w:val="000000"/>
        </w:rPr>
        <w:t xml:space="preserve"> </w:t>
      </w:r>
      <w:r>
        <w:rPr>
          <w:rFonts w:ascii="Arial" w:hAnsi="Arial"/>
          <w:color w:val="000000"/>
          <w:sz w:val="20"/>
        </w:rPr>
        <w:t xml:space="preserve">The authorized number of directors of the corporation shall be fixed in accordance with the Articles of Incorporation. Directors need not be stockholders unless so required by the Articles of Incorporation. If for any cause, the directors shall not have been elected at an annual meeting, they may be elected as soon thereafter as convenient at a special meeting of the stockholders called for that purpose in the manner provided in these Bylaws. </w:t>
      </w:r>
    </w:p>
    <w:p>
      <w:pPr>
        <w:pStyle w:val="TextBody"/>
        <w:bidi w:val="0"/>
        <w:spacing w:before="0" w:after="240"/>
        <w:jc w:val="both"/>
        <w:rPr>
          <w:rFonts w:ascii="Arial" w:hAnsi="Arial"/>
          <w:b/>
          <w:color w:val="000000"/>
          <w:sz w:val="20"/>
        </w:rPr>
      </w:pPr>
      <w:r>
        <w:rPr>
          <w:rFonts w:ascii="Arial" w:hAnsi="Arial"/>
          <w:b/>
          <w:color w:val="000000"/>
          <w:sz w:val="20"/>
        </w:rPr>
        <w:t>Section 2.</w:t>
      </w:r>
    </w:p>
    <w:p>
      <w:pPr>
        <w:pStyle w:val="TextBody"/>
        <w:bidi w:val="0"/>
        <w:spacing w:before="0" w:after="240"/>
        <w:jc w:val="both"/>
        <w:rPr/>
      </w:pPr>
      <w:r>
        <w:rPr>
          <w:rFonts w:ascii="Arial" w:hAnsi="Arial"/>
          <w:b/>
          <w:color w:val="000000"/>
          <w:sz w:val="20"/>
        </w:rPr>
        <w:t>Powers.</w:t>
      </w:r>
      <w:r>
        <w:rPr>
          <w:color w:val="000000"/>
        </w:rPr>
        <w:t xml:space="preserve"> </w:t>
      </w:r>
      <w:r>
        <w:rPr>
          <w:rFonts w:ascii="Arial" w:hAnsi="Arial"/>
          <w:color w:val="000000"/>
          <w:sz w:val="20"/>
        </w:rPr>
        <w:t xml:space="preserve">The business and affairs of the corporation shall be managed by or under the direction of the Board of Directors, except as may be otherwise provided by the Articles of Incorporation or the NRS. </w:t>
      </w:r>
    </w:p>
    <w:p>
      <w:pPr>
        <w:pStyle w:val="TextBody"/>
        <w:bidi w:val="0"/>
        <w:spacing w:before="0" w:after="240"/>
        <w:jc w:val="both"/>
        <w:rPr>
          <w:rFonts w:ascii="Arial" w:hAnsi="Arial"/>
          <w:b/>
          <w:color w:val="000000"/>
          <w:sz w:val="20"/>
        </w:rPr>
      </w:pPr>
      <w:r>
        <w:rPr>
          <w:rFonts w:ascii="Arial" w:hAnsi="Arial"/>
          <w:b/>
          <w:color w:val="000000"/>
          <w:sz w:val="20"/>
        </w:rPr>
        <w:t>Section 3.</w:t>
      </w:r>
    </w:p>
    <w:p>
      <w:pPr>
        <w:pStyle w:val="TextBody"/>
        <w:bidi w:val="0"/>
        <w:spacing w:before="0" w:after="240"/>
        <w:jc w:val="both"/>
        <w:rPr/>
      </w:pPr>
      <w:r>
        <w:rPr>
          <w:rFonts w:ascii="Arial" w:hAnsi="Arial"/>
          <w:b/>
          <w:color w:val="000000"/>
          <w:sz w:val="20"/>
        </w:rPr>
        <w:t xml:space="preserve">Classes of Directors. </w:t>
      </w:r>
      <w:r>
        <w:rPr>
          <w:rFonts w:ascii="Arial" w:hAnsi="Arial"/>
          <w:color w:val="000000"/>
          <w:sz w:val="20"/>
        </w:rPr>
        <w:t>The directors shall be divided into classes if, as and to the extent provided in the Articles of Incorporation, except as otherwise required by applicable law.</w:t>
      </w:r>
    </w:p>
    <w:p>
      <w:pPr>
        <w:pStyle w:val="TextBody"/>
        <w:bidi w:val="0"/>
        <w:spacing w:before="0" w:after="240"/>
        <w:jc w:val="both"/>
        <w:rPr>
          <w:rFonts w:ascii="Arial" w:hAnsi="Arial"/>
          <w:b/>
          <w:color w:val="000000"/>
          <w:sz w:val="20"/>
        </w:rPr>
      </w:pPr>
      <w:r>
        <w:rPr>
          <w:rFonts w:ascii="Arial" w:hAnsi="Arial"/>
          <w:b/>
          <w:color w:val="000000"/>
          <w:sz w:val="20"/>
        </w:rPr>
        <w:t>Section 4.</w:t>
      </w:r>
    </w:p>
    <w:p>
      <w:pPr>
        <w:pStyle w:val="TextBody"/>
        <w:bidi w:val="0"/>
        <w:spacing w:before="0" w:after="240"/>
        <w:jc w:val="both"/>
        <w:rPr/>
      </w:pPr>
      <w:r>
        <w:rPr>
          <w:rFonts w:ascii="Arial" w:hAnsi="Arial"/>
          <w:b/>
          <w:color w:val="000000"/>
          <w:sz w:val="20"/>
        </w:rPr>
        <w:t xml:space="preserve">Vacancies; Newly Creates Directorships. </w:t>
      </w:r>
      <w:r>
        <w:rPr>
          <w:rFonts w:ascii="Arial" w:hAnsi="Arial"/>
          <w:color w:val="000000"/>
          <w:sz w:val="20"/>
        </w:rPr>
        <w:t xml:space="preserve">Vacancies and newly created directorships on the Board of Directors shall be filled as provided in the Articles of Incorporation, except as otherwise required by applicable law. </w:t>
      </w:r>
    </w:p>
    <w:p>
      <w:pPr>
        <w:pStyle w:val="TextBody"/>
        <w:bidi w:val="0"/>
        <w:spacing w:before="0" w:after="240"/>
        <w:jc w:val="both"/>
        <w:rPr>
          <w:rFonts w:ascii="Arial" w:hAnsi="Arial"/>
          <w:b/>
          <w:color w:val="000000"/>
          <w:sz w:val="20"/>
        </w:rPr>
      </w:pPr>
      <w:r>
        <w:rPr>
          <w:rFonts w:ascii="Arial" w:hAnsi="Arial"/>
          <w:b/>
          <w:color w:val="000000"/>
          <w:sz w:val="20"/>
        </w:rPr>
        <w:t>Section 5.</w:t>
      </w:r>
    </w:p>
    <w:p>
      <w:pPr>
        <w:pStyle w:val="TextBody"/>
        <w:bidi w:val="0"/>
        <w:spacing w:before="0" w:after="240"/>
        <w:jc w:val="both"/>
        <w:rPr/>
      </w:pPr>
      <w:r>
        <w:rPr>
          <w:rFonts w:ascii="Arial" w:hAnsi="Arial"/>
          <w:b/>
          <w:color w:val="000000"/>
          <w:sz w:val="20"/>
        </w:rPr>
        <w:t>Resignation.</w:t>
      </w:r>
      <w:r>
        <w:rPr>
          <w:color w:val="000000"/>
        </w:rPr>
        <w:t xml:space="preserve"> </w:t>
      </w:r>
      <w:r>
        <w:rPr>
          <w:rFonts w:ascii="Arial" w:hAnsi="Arial"/>
          <w:color w:val="000000"/>
          <w:sz w:val="20"/>
        </w:rPr>
        <w:t xml:space="preserve">Any director may resign at any time by delivering his or her notice in writing or by electronic transmission to the Board 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Section 6.</w:t>
      </w:r>
    </w:p>
    <w:p>
      <w:pPr>
        <w:pStyle w:val="TextBody"/>
        <w:bidi w:val="0"/>
        <w:spacing w:before="0" w:after="240"/>
        <w:jc w:val="both"/>
        <w:rPr/>
      </w:pPr>
      <w:r>
        <w:rPr>
          <w:rFonts w:ascii="Arial" w:hAnsi="Arial"/>
          <w:b/>
          <w:color w:val="000000"/>
          <w:sz w:val="20"/>
        </w:rPr>
        <w:t xml:space="preserve">Removal. </w:t>
      </w:r>
      <w:r>
        <w:rPr>
          <w:rFonts w:ascii="Arial" w:hAnsi="Arial"/>
          <w:color w:val="000000"/>
          <w:sz w:val="20"/>
        </w:rPr>
        <w:t>Subject to any limitation imposed by applicable law, any individual director or the entire Board of Directors may be removed from office as provided in NRS 78.335.</w:t>
      </w:r>
    </w:p>
    <w:p>
      <w:pPr>
        <w:pStyle w:val="TextBody"/>
        <w:bidi w:val="0"/>
        <w:spacing w:before="0" w:after="240"/>
        <w:jc w:val="both"/>
        <w:rPr>
          <w:rFonts w:ascii="Arial" w:hAnsi="Arial"/>
          <w:b/>
          <w:color w:val="000000"/>
          <w:sz w:val="20"/>
        </w:rPr>
      </w:pPr>
      <w:r>
        <w:rPr>
          <w:rFonts w:ascii="Arial" w:hAnsi="Arial"/>
          <w:b/>
          <w:color w:val="000000"/>
          <w:sz w:val="20"/>
        </w:rPr>
        <w:t>Section 7.</w:t>
      </w:r>
    </w:p>
    <w:p>
      <w:pPr>
        <w:pStyle w:val="TextBody"/>
        <w:bidi w:val="0"/>
        <w:spacing w:before="0" w:after="240"/>
        <w:jc w:val="both"/>
        <w:rPr/>
      </w:pPr>
      <w:r>
        <w:rPr>
          <w:rFonts w:ascii="Arial" w:hAnsi="Arial"/>
          <w:b/>
          <w:color w:val="000000"/>
          <w:sz w:val="20"/>
        </w:rPr>
        <w:t>Meetings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pPr>
      <w:r>
        <w:rPr>
          <w:rFonts w:ascii="Arial" w:hAnsi="Arial"/>
          <w:b/>
          <w:color w:val="000000"/>
          <w:sz w:val="20"/>
        </w:rPr>
        <w:t>Regular Meetings.</w:t>
      </w:r>
      <w:r>
        <w:rPr>
          <w:color w:val="000000"/>
        </w:rPr>
        <w:t xml:space="preserve"> </w:t>
      </w:r>
      <w:r>
        <w:rPr>
          <w:rFonts w:ascii="Arial" w:hAnsi="Arial"/>
          <w:color w:val="000000"/>
          <w:sz w:val="20"/>
        </w:rPr>
        <w:t xml:space="preserve">Unless otherwise restricted by the Articles of Incorporation, regular meetings of the Board of Directors may be held at any time or date and at any place within or without the State of Nevada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pPr>
      <w:r>
        <w:rPr>
          <w:rFonts w:ascii="Arial" w:hAnsi="Arial"/>
          <w:b/>
          <w:color w:val="000000"/>
          <w:sz w:val="20"/>
        </w:rPr>
        <w:t xml:space="preserve">Special Meetings. </w:t>
      </w:r>
      <w:r>
        <w:rPr>
          <w:rFonts w:ascii="Arial" w:hAnsi="Arial"/>
          <w:color w:val="000000"/>
          <w:sz w:val="20"/>
        </w:rPr>
        <w:t>Unless otherwise restricted by the Articles of Incorporation, special meetings of the Board of Directors may be held at any time and place within or without the State of Nevada as designated and called by the Chairperson of the Board of Directors, the Chief Executive Officer or the Board of Directors</w:t>
      </w:r>
      <w:r>
        <w:rPr>
          <w:rFonts w:ascii="Arial" w:hAnsi="Arial"/>
          <w:b/>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pPr>
      <w:r>
        <w:rPr>
          <w:rFonts w:ascii="Arial" w:hAnsi="Arial"/>
          <w:b/>
          <w:color w:val="000000"/>
          <w:sz w:val="20"/>
        </w:rPr>
        <w:t xml:space="preserve">Meetings by Electronic Communications Equipment. </w:t>
      </w:r>
      <w:r>
        <w:rPr>
          <w:rFonts w:ascii="Arial" w:hAnsi="Arial"/>
          <w:color w:val="000000"/>
          <w:sz w:val="20"/>
        </w:rPr>
        <w:t xml:space="preserve">Any member of the Board of Directors, or of any committee thereof, may participate in a meeting by means of conference telephone or other communications equipment or available technology permitted by the NRS (including by any means of remote communications permitted under the NRS for use in connection with a meeting of stockholders) by means of which all persons participating in the meeting can hear each other, and participation in a meeting by such means shall constitute presence in person at such meeting. </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pPr>
      <w:r>
        <w:rPr>
          <w:rFonts w:ascii="Arial" w:hAnsi="Arial"/>
          <w:b/>
          <w:color w:val="000000"/>
          <w:sz w:val="20"/>
        </w:rPr>
        <w:t xml:space="preserve">Notice of Special Meetings. </w:t>
      </w:r>
      <w:r>
        <w:rPr>
          <w:rFonts w:ascii="Arial" w:hAnsi="Arial"/>
          <w:color w:val="000000"/>
          <w:sz w:val="20"/>
        </w:rPr>
        <w:t xml:space="preserve">Notice of the time and place, if any, of all special meetings of the Board of Directors shall be transmitted 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 </w:t>
      </w:r>
    </w:p>
    <w:p>
      <w:pPr>
        <w:pStyle w:val="TextBody"/>
        <w:bidi w:val="0"/>
        <w:spacing w:before="0" w:after="240"/>
        <w:jc w:val="both"/>
        <w:rPr>
          <w:rFonts w:ascii="Arial" w:hAnsi="Arial"/>
          <w:b/>
          <w:color w:val="000000"/>
          <w:sz w:val="20"/>
        </w:rPr>
      </w:pPr>
      <w:r>
        <w:rPr>
          <w:rFonts w:ascii="Arial" w:hAnsi="Arial"/>
          <w:b/>
          <w:color w:val="000000"/>
          <w:sz w:val="20"/>
        </w:rPr>
        <w:t>(e)</w:t>
      </w:r>
    </w:p>
    <w:p>
      <w:pPr>
        <w:pStyle w:val="TextBody"/>
        <w:bidi w:val="0"/>
        <w:spacing w:before="0" w:after="240"/>
        <w:jc w:val="both"/>
        <w:rPr/>
      </w:pPr>
      <w:r>
        <w:rPr>
          <w:rFonts w:ascii="Arial" w:hAnsi="Arial"/>
          <w:b/>
          <w:color w:val="000000"/>
          <w:sz w:val="20"/>
        </w:rPr>
        <w:t xml:space="preserve">Waiver of Notice. </w:t>
      </w:r>
      <w:r>
        <w:rPr>
          <w:rFonts w:ascii="Arial" w:hAnsi="Arial"/>
          <w:color w:val="000000"/>
          <w:sz w:val="20"/>
        </w:rPr>
        <w:t xml:space="preserve">Notice of any meeting of the Board of Directors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w:t>
      </w:r>
    </w:p>
    <w:p>
      <w:pPr>
        <w:pStyle w:val="TextBody"/>
        <w:bidi w:val="0"/>
        <w:spacing w:before="0" w:after="240"/>
        <w:jc w:val="both"/>
        <w:rPr>
          <w:rFonts w:ascii="Arial" w:hAnsi="Arial"/>
          <w:b/>
          <w:color w:val="000000"/>
          <w:sz w:val="20"/>
        </w:rPr>
      </w:pPr>
      <w:r>
        <w:rPr>
          <w:rFonts w:ascii="Arial" w:hAnsi="Arial"/>
          <w:b/>
          <w:color w:val="000000"/>
          <w:sz w:val="20"/>
        </w:rPr>
        <w:t>Section 8.</w:t>
      </w:r>
    </w:p>
    <w:p>
      <w:pPr>
        <w:pStyle w:val="TextBody"/>
        <w:bidi w:val="0"/>
        <w:spacing w:before="0" w:after="240"/>
        <w:jc w:val="both"/>
        <w:rPr/>
      </w:pPr>
      <w:r>
        <w:rPr>
          <w:rFonts w:ascii="Arial" w:hAnsi="Arial"/>
          <w:b/>
          <w:color w:val="000000"/>
          <w:sz w:val="20"/>
        </w:rPr>
        <w:t>Quorum and Voting</w:t>
      </w:r>
      <w:r>
        <w:rPr>
          <w:rFonts w:ascii="Arial" w:hAnsi="Arial"/>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 xml:space="preserve">Unless the Articles of Incorporation requires a greater number, and except with respect to questions related to indemnification arising under Section 45 for which a quorum shall be one-third of the exact number of directors fixed from time to time by the Board of Directors in accordance with the Articles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Articles of Incorporation. At any meeting whether a quorum be present or otherwise, a majority of the directors present may adjourn from time to time until the time fixed for the next regular meeting of the Board of Directors, without notice other than by announcement at the meeting.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 xml:space="preserve">At each meeting of the Board of Directors at which a quorum is present, all questions and business shall be determined by the affirmative vote of a majority of the directors present, unless a different vote be required by applicable law, the Articles of Incorporation or these Bylaws. </w:t>
      </w:r>
    </w:p>
    <w:p>
      <w:pPr>
        <w:pStyle w:val="TextBody"/>
        <w:bidi w:val="0"/>
        <w:spacing w:before="0" w:after="240"/>
        <w:jc w:val="both"/>
        <w:rPr>
          <w:rFonts w:ascii="Arial" w:hAnsi="Arial"/>
          <w:b/>
          <w:color w:val="000000"/>
          <w:sz w:val="20"/>
        </w:rPr>
      </w:pPr>
      <w:r>
        <w:rPr>
          <w:rFonts w:ascii="Arial" w:hAnsi="Arial"/>
          <w:b/>
          <w:color w:val="000000"/>
          <w:sz w:val="20"/>
        </w:rPr>
        <w:t>Section 9.</w:t>
      </w:r>
    </w:p>
    <w:p>
      <w:pPr>
        <w:pStyle w:val="TextBody"/>
        <w:bidi w:val="0"/>
        <w:spacing w:before="0" w:after="240"/>
        <w:jc w:val="both"/>
        <w:rPr/>
      </w:pPr>
      <w:r>
        <w:rPr>
          <w:rFonts w:ascii="Arial" w:hAnsi="Arial"/>
          <w:b/>
          <w:color w:val="000000"/>
          <w:sz w:val="20"/>
        </w:rPr>
        <w:t>Action without Meeting.</w:t>
      </w:r>
      <w:r>
        <w:rPr>
          <w:color w:val="000000"/>
        </w:rPr>
        <w:t xml:space="preserve"> </w:t>
      </w:r>
      <w:r>
        <w:rPr>
          <w:rFonts w:ascii="Arial" w:hAnsi="Arial"/>
          <w:color w:val="000000"/>
          <w:sz w:val="20"/>
        </w:rPr>
        <w:t>Unless otherwise restricted by the Articles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excluding any director(s) not required to sign such consent pursuant to and in accordance with NRS 78.315(2).</w:t>
      </w:r>
      <w:r>
        <w:rPr>
          <w:color w:val="000000"/>
        </w:rPr>
        <w:t xml:space="preserve"> </w:t>
      </w:r>
      <w:r>
        <w:rPr>
          <w:rFonts w:ascii="Arial" w:hAnsi="Arial"/>
          <w:color w:val="000000"/>
          <w:sz w:val="20"/>
        </w:rPr>
        <w:t xml:space="preserve">Such consent or consents shall be filed with the minutes of proceedings of the Board of Directors or committee. Such filing shall be in paper form if the minutes are maintained in paper form and shall be in electronic form if the minutes are maintained in electronic form.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pPr>
      <w:r>
        <w:rPr>
          <w:rFonts w:ascii="Arial" w:hAnsi="Arial"/>
          <w:b/>
          <w:color w:val="000000"/>
          <w:sz w:val="20"/>
        </w:rPr>
        <w:t>Fees and Compensation</w:t>
      </w:r>
      <w:r>
        <w:rPr>
          <w:rFonts w:ascii="Arial" w:hAnsi="Arial"/>
          <w:color w:val="000000"/>
          <w:sz w:val="20"/>
        </w:rPr>
        <w:t xml:space="preserve">. Unless otherwise restricted by the Articles of Incorporation or the Bylaws, the Board of Directors, or any duly authorized committee thereof, shall have the authority to fix the compensation, including fees and reimbursement of expenses, of directors for services to the corporation in any capacity. </w:t>
      </w:r>
    </w:p>
    <w:p>
      <w:pPr>
        <w:pStyle w:val="TextBody"/>
        <w:bidi w:val="0"/>
        <w:spacing w:before="0" w:after="240"/>
        <w:jc w:val="both"/>
        <w:rPr>
          <w:rFonts w:ascii="Arial" w:hAnsi="Arial"/>
          <w:b/>
          <w:color w:val="000000"/>
          <w:sz w:val="20"/>
        </w:rPr>
      </w:pPr>
      <w:r>
        <w:rPr>
          <w:rFonts w:ascii="Arial" w:hAnsi="Arial"/>
          <w:b/>
          <w:color w:val="000000"/>
          <w:sz w:val="20"/>
        </w:rPr>
        <w:t>Section 10.</w:t>
      </w:r>
    </w:p>
    <w:p>
      <w:pPr>
        <w:pStyle w:val="TextBody"/>
        <w:bidi w:val="0"/>
        <w:spacing w:before="0" w:after="240"/>
        <w:jc w:val="both"/>
        <w:rPr/>
      </w:pPr>
      <w:r>
        <w:rPr>
          <w:rFonts w:ascii="Arial" w:hAnsi="Arial"/>
          <w:b/>
          <w:color w:val="000000"/>
          <w:sz w:val="20"/>
        </w:rPr>
        <w:t>Committees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pPr>
      <w:r>
        <w:rPr>
          <w:rFonts w:ascii="Arial" w:hAnsi="Arial"/>
          <w:b/>
          <w:color w:val="000000"/>
          <w:sz w:val="20"/>
        </w:rPr>
        <w:t>Executive Committee.</w:t>
      </w:r>
      <w:r>
        <w:rPr>
          <w:color w:val="000000"/>
        </w:rPr>
        <w:t xml:space="preserve"> </w:t>
      </w:r>
      <w:r>
        <w:rPr>
          <w:rFonts w:ascii="Arial" w:hAnsi="Arial"/>
          <w:color w:val="000000"/>
          <w:sz w:val="20"/>
        </w:rPr>
        <w:t xml:space="preserve">The Board of Directors may appoint an Executive Committee to consist of one or more members of the Board 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pPr>
      <w:r>
        <w:rPr>
          <w:rFonts w:ascii="Arial" w:hAnsi="Arial"/>
          <w:b/>
          <w:color w:val="000000"/>
          <w:sz w:val="20"/>
        </w:rPr>
        <w:t>Other Committees.</w:t>
      </w:r>
      <w:r>
        <w:rPr>
          <w:color w:val="000000"/>
        </w:rPr>
        <w:t xml:space="preserve"> </w:t>
      </w:r>
      <w:r>
        <w:rPr>
          <w:rFonts w:ascii="Arial" w:hAnsi="Arial"/>
          <w:color w:val="000000"/>
          <w:sz w:val="20"/>
        </w:rPr>
        <w:t xml:space="preserve">The Board of Directors may, from time to time, appoint such other committees as may be permitted by applicable law. Such other committees appointed by the Board of Directors shall consist of one or more members of the Board of Directors and shall have such powers and perform such duties as may be prescribed by the resolution or resolutions creating such committees. </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pPr>
      <w:r>
        <w:rPr>
          <w:rFonts w:ascii="Arial" w:hAnsi="Arial"/>
          <w:b/>
          <w:color w:val="000000"/>
          <w:sz w:val="20"/>
        </w:rPr>
        <w:t>Term.</w:t>
      </w:r>
      <w:r>
        <w:rPr>
          <w:color w:val="000000"/>
        </w:rPr>
        <w:t xml:space="preserve"> </w:t>
      </w:r>
      <w:r>
        <w:rPr>
          <w:rFonts w:ascii="Arial" w:hAnsi="Arial"/>
          <w:color w:val="000000"/>
          <w:sz w:val="20"/>
        </w:rPr>
        <w:t xml:space="preserve">The Board of Directors, subject to any requirements of any outstanding series of preferred stock and the provisions of 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pPr>
      <w:r>
        <w:rPr>
          <w:rFonts w:ascii="Arial" w:hAnsi="Arial"/>
          <w:b/>
          <w:color w:val="000000"/>
          <w:sz w:val="20"/>
        </w:rPr>
        <w:t>Meetings.</w:t>
      </w:r>
      <w:r>
        <w:rPr>
          <w:color w:val="000000"/>
        </w:rPr>
        <w:t xml:space="preserve"> </w:t>
      </w:r>
      <w:r>
        <w:rPr>
          <w:rFonts w:ascii="Arial" w:hAnsi="Arial"/>
          <w:color w:val="000000"/>
          <w:sz w:val="20"/>
        </w:rPr>
        <w:t>Unless the Board of Directors shall otherwise provide, regular meetings of the Executive Committee or any other committee appointed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w:t>
      </w:r>
      <w:r>
        <w:rPr>
          <w:smallCaps/>
          <w:color w:val="000000"/>
        </w:rPr>
        <w:t xml:space="preserve"> </w:t>
      </w:r>
      <w:r>
        <w:rPr>
          <w:rFonts w:ascii="Arial" w:hAnsi="Arial"/>
          <w:color w:val="000000"/>
          <w:sz w:val="20"/>
        </w:rPr>
        <w:t xml:space="preserve">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pPr>
      <w:r>
        <w:rPr>
          <w:rFonts w:ascii="Arial" w:hAnsi="Arial"/>
          <w:color w:val="000000"/>
          <w:sz w:val="20"/>
        </w:rPr>
        <w:t>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r>
        <w:rPr>
          <w:color w:val="000000"/>
        </w:rPr>
        <w:t xml:space="preserve"> </w:t>
      </w:r>
    </w:p>
    <w:p>
      <w:pPr>
        <w:pStyle w:val="TextBody"/>
        <w:bidi w:val="0"/>
        <w:spacing w:before="0" w:after="240"/>
        <w:jc w:val="both"/>
        <w:rPr>
          <w:rFonts w:ascii="Arial" w:hAnsi="Arial"/>
          <w:b/>
          <w:color w:val="000000"/>
          <w:sz w:val="20"/>
        </w:rPr>
      </w:pPr>
      <w:r>
        <w:rPr>
          <w:rFonts w:ascii="Arial" w:hAnsi="Arial"/>
          <w:b/>
          <w:color w:val="000000"/>
          <w:sz w:val="20"/>
        </w:rPr>
        <w:t>Section 11.</w:t>
      </w:r>
    </w:p>
    <w:p>
      <w:pPr>
        <w:pStyle w:val="TextBody"/>
        <w:bidi w:val="0"/>
        <w:spacing w:before="0" w:after="240"/>
        <w:jc w:val="both"/>
        <w:rPr/>
      </w:pPr>
      <w:r>
        <w:rPr>
          <w:rFonts w:ascii="Arial" w:hAnsi="Arial"/>
          <w:b/>
          <w:color w:val="000000"/>
          <w:sz w:val="20"/>
        </w:rPr>
        <w:t xml:space="preserve">Lead Independent Director. </w:t>
      </w:r>
      <w:r>
        <w:rPr>
          <w:rFonts w:ascii="Arial" w:hAnsi="Arial"/>
          <w:color w:val="000000"/>
          <w:sz w:val="20"/>
        </w:rPr>
        <w:t>The Chairperson of the Board of Directors, or if the Chairperson is not an independent director, one of 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pStyle w:val="TextBody"/>
        <w:bidi w:val="0"/>
        <w:spacing w:before="0" w:after="240"/>
        <w:jc w:val="both"/>
        <w:rPr>
          <w:rFonts w:ascii="Arial" w:hAnsi="Arial"/>
          <w:b/>
          <w:color w:val="000000"/>
          <w:sz w:val="20"/>
        </w:rPr>
      </w:pPr>
      <w:r>
        <w:rPr>
          <w:rFonts w:ascii="Arial" w:hAnsi="Arial"/>
          <w:b/>
          <w:color w:val="000000"/>
          <w:sz w:val="20"/>
        </w:rPr>
        <w:t>Section 12.</w:t>
      </w:r>
    </w:p>
    <w:p>
      <w:pPr>
        <w:pStyle w:val="TextBody"/>
        <w:bidi w:val="0"/>
        <w:spacing w:before="0" w:after="240"/>
        <w:jc w:val="both"/>
        <w:rPr/>
      </w:pPr>
      <w:r>
        <w:rPr>
          <w:rFonts w:ascii="Arial" w:hAnsi="Arial"/>
          <w:b/>
          <w:color w:val="000000"/>
          <w:sz w:val="20"/>
        </w:rPr>
        <w:t>Organization.</w:t>
      </w:r>
      <w:r>
        <w:rPr>
          <w:color w:val="000000"/>
        </w:rPr>
        <w:t xml:space="preserve"> </w:t>
      </w:r>
      <w:r>
        <w:rPr>
          <w:rFonts w:ascii="Arial" w:hAnsi="Arial"/>
          <w:color w:val="000000"/>
          <w:sz w:val="20"/>
        </w:rPr>
        <w:t>At every meeting of the directors, the Chairperson of the Board of Directors, or, if a Chairperson has not been 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pStyle w:val="TextBody"/>
        <w:bidi w:val="0"/>
        <w:spacing w:before="0" w:after="240"/>
        <w:jc w:val="center"/>
        <w:rPr>
          <w:rFonts w:ascii="Arial" w:hAnsi="Arial"/>
          <w:b/>
          <w:caps/>
          <w:color w:val="000000"/>
          <w:sz w:val="20"/>
        </w:rPr>
      </w:pPr>
      <w:r>
        <w:rPr>
          <w:rFonts w:ascii="Arial" w:hAnsi="Arial"/>
          <w:b/>
          <w:caps/>
          <w:color w:val="000000"/>
          <w:sz w:val="20"/>
        </w:rPr>
        <w:t>Article V</w:t>
      </w:r>
    </w:p>
    <w:p>
      <w:pPr>
        <w:pStyle w:val="TextBody"/>
        <w:bidi w:val="0"/>
        <w:spacing w:before="0" w:after="240"/>
        <w:jc w:val="center"/>
        <w:rPr>
          <w:rFonts w:ascii="Arial" w:hAnsi="Arial"/>
          <w:b/>
          <w:caps/>
          <w:color w:val="000000"/>
          <w:sz w:val="20"/>
        </w:rPr>
      </w:pPr>
      <w:r>
        <w:rPr>
          <w:rFonts w:ascii="Arial" w:hAnsi="Arial"/>
          <w:b/>
          <w:caps/>
          <w:color w:val="000000"/>
          <w:sz w:val="20"/>
        </w:rPr>
        <w:br/>
        <w:br/>
        <w:t>OFFICERS</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Officers Designated.</w:t>
      </w:r>
      <w:r>
        <w:rPr>
          <w:color w:val="000000"/>
        </w:rPr>
        <w:t xml:space="preserve"> </w:t>
      </w:r>
      <w:r>
        <w:rPr>
          <w:rFonts w:ascii="Arial" w:hAnsi="Arial"/>
          <w:color w:val="000000"/>
          <w:sz w:val="20"/>
        </w:rPr>
        <w:t xml:space="preserve">The officers of the corporation shall include, if and when designated by the Board of Directors, the Chairperson of the Board of Directors (provided that notwithstanding the foregoing or anything to the contrary in these Bylaws, the Chairperson of the Board of Directors shall not be deemed an officer of the corporation unless specifically designated an officer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Articles of Incorporation or these Bylaws. The salaries and other compensation of the officers of the corporation shall be fixed by or in the manner designated by the Board of Directors or by a committee thereof to which the Board of Directors has delegated such responsibility. </w:t>
      </w:r>
    </w:p>
    <w:p>
      <w:pPr>
        <w:pStyle w:val="TextBody"/>
        <w:bidi w:val="0"/>
        <w:spacing w:before="0" w:after="240"/>
        <w:jc w:val="both"/>
        <w:rPr>
          <w:rFonts w:ascii="Arial" w:hAnsi="Arial"/>
          <w:b/>
          <w:color w:val="000000"/>
          <w:sz w:val="20"/>
        </w:rPr>
      </w:pPr>
      <w:r>
        <w:rPr>
          <w:rFonts w:ascii="Arial" w:hAnsi="Arial"/>
          <w:b/>
          <w:color w:val="000000"/>
          <w:sz w:val="20"/>
        </w:rPr>
        <w:t>Section 2.</w:t>
      </w:r>
    </w:p>
    <w:p>
      <w:pPr>
        <w:pStyle w:val="TextBody"/>
        <w:bidi w:val="0"/>
        <w:spacing w:before="0" w:after="240"/>
        <w:jc w:val="both"/>
        <w:rPr/>
      </w:pPr>
      <w:r>
        <w:rPr>
          <w:rFonts w:ascii="Arial" w:hAnsi="Arial"/>
          <w:b/>
          <w:color w:val="000000"/>
          <w:sz w:val="20"/>
        </w:rPr>
        <w:t>Tenure and Duties of Officers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pPr>
      <w:r>
        <w:rPr>
          <w:rFonts w:ascii="Arial" w:hAnsi="Arial"/>
          <w:b/>
          <w:color w:val="000000"/>
          <w:sz w:val="20"/>
        </w:rPr>
        <w:t>General.</w:t>
      </w:r>
      <w:r>
        <w:rPr>
          <w:color w:val="000000"/>
        </w:rPr>
        <w:t xml:space="preserve"> </w:t>
      </w:r>
      <w:r>
        <w:rPr>
          <w:rFonts w:ascii="Arial" w:hAnsi="Arial"/>
          <w:color w:val="000000"/>
          <w:sz w:val="20"/>
        </w:rPr>
        <w:t xml:space="preserve">All officers shall hold office at the pleasure of the Board of Directors and until their successors shall have been duly elected 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pPr>
      <w:r>
        <w:rPr>
          <w:rFonts w:ascii="Arial" w:hAnsi="Arial"/>
          <w:b/>
          <w:color w:val="000000"/>
          <w:sz w:val="20"/>
        </w:rPr>
        <w:t>Duties of Chief Executive Officer.</w:t>
      </w:r>
      <w:r>
        <w:rPr>
          <w:color w:val="000000"/>
        </w:rPr>
        <w:t xml:space="preserve"> </w:t>
      </w:r>
      <w:r>
        <w:rPr>
          <w:rFonts w:ascii="Arial" w:hAnsi="Arial"/>
          <w:color w:val="000000"/>
          <w:sz w:val="20"/>
        </w:rPr>
        <w:t xml:space="preserve">The Chief Executive Officer shall preside at all meetings of the stockholders and, if a director, at 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pPr>
      <w:r>
        <w:rPr>
          <w:rFonts w:ascii="Arial" w:hAnsi="Arial"/>
          <w:color w:val="000000"/>
          <w:sz w:val="20"/>
        </w:rPr>
        <w:t>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r>
        <w:rPr>
          <w:color w:val="000000"/>
        </w:rPr>
        <w:t xml:space="preserve"> </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pPr>
      <w:r>
        <w:rPr>
          <w:rFonts w:ascii="Arial" w:hAnsi="Arial"/>
          <w:b/>
          <w:color w:val="000000"/>
          <w:sz w:val="20"/>
        </w:rPr>
        <w:t>Duties of President.</w:t>
      </w:r>
      <w:r>
        <w:rPr>
          <w:color w:val="000000"/>
        </w:rPr>
        <w:t xml:space="preserve"> </w:t>
      </w:r>
      <w:r>
        <w:rPr>
          <w:rFonts w:ascii="Arial" w:hAnsi="Arial"/>
          <w:color w:val="000000"/>
          <w:sz w:val="20"/>
        </w:rPr>
        <w:t>The President shall preside at all meetings of the stockholders and, if a director, at all meetings of the Board of 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w:t>
      </w:r>
      <w:r>
        <w:rPr>
          <w:smallCaps/>
          <w:color w:val="000000"/>
        </w:rPr>
        <w:t xml:space="preserve"> </w:t>
      </w:r>
      <w:r>
        <w:rPr>
          <w:rFonts w:ascii="Arial" w:hAnsi="Arial"/>
          <w:color w:val="000000"/>
          <w:sz w:val="20"/>
        </w:rPr>
        <w:t xml:space="preserve">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 </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pPr>
      <w:r>
        <w:rPr>
          <w:rFonts w:ascii="Arial" w:hAnsi="Arial"/>
          <w:b/>
          <w:color w:val="000000"/>
          <w:sz w:val="20"/>
        </w:rPr>
        <w:t>Duties of Vice Presidents.</w:t>
      </w:r>
      <w:r>
        <w:rPr>
          <w:color w:val="000000"/>
        </w:rPr>
        <w:t xml:space="preserve"> </w:t>
      </w:r>
      <w:r>
        <w:rPr>
          <w:rFonts w:ascii="Arial" w:hAnsi="Arial"/>
          <w:color w:val="000000"/>
          <w:sz w:val="20"/>
        </w:rPr>
        <w:t xml:space="preserve">A Vice President may assume and perform the duties of the President in the absence or disability of the 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 </w:t>
      </w:r>
    </w:p>
    <w:p>
      <w:pPr>
        <w:pStyle w:val="TextBody"/>
        <w:bidi w:val="0"/>
        <w:spacing w:before="0" w:after="240"/>
        <w:jc w:val="both"/>
        <w:rPr>
          <w:rFonts w:ascii="Arial" w:hAnsi="Arial"/>
          <w:b/>
          <w:color w:val="000000"/>
          <w:sz w:val="20"/>
        </w:rPr>
      </w:pPr>
      <w:r>
        <w:rPr>
          <w:rFonts w:ascii="Arial" w:hAnsi="Arial"/>
          <w:b/>
          <w:color w:val="000000"/>
          <w:sz w:val="20"/>
        </w:rPr>
        <w:t>(e)</w:t>
      </w:r>
    </w:p>
    <w:p>
      <w:pPr>
        <w:pStyle w:val="TextBody"/>
        <w:bidi w:val="0"/>
        <w:spacing w:before="0" w:after="240"/>
        <w:jc w:val="both"/>
        <w:rPr/>
      </w:pPr>
      <w:r>
        <w:rPr>
          <w:rFonts w:ascii="Arial" w:hAnsi="Arial"/>
          <w:b/>
          <w:color w:val="000000"/>
          <w:sz w:val="20"/>
        </w:rPr>
        <w:t>Duties of Secretary and Assistant Secretary.</w:t>
      </w:r>
      <w:r>
        <w:rPr>
          <w:color w:val="000000"/>
        </w:rPr>
        <w:t xml:space="preserve"> </w:t>
      </w:r>
      <w:r>
        <w:rPr>
          <w:rFonts w:ascii="Arial" w:hAnsi="Arial"/>
          <w:color w:val="000000"/>
          <w:sz w:val="20"/>
        </w:rPr>
        <w:t xml:space="preserve">The Secretary shall attend all meetings of the stockholders and of the Board of Directors 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w:t>
      </w:r>
    </w:p>
    <w:p>
      <w:pPr>
        <w:pStyle w:val="TextBody"/>
        <w:bidi w:val="0"/>
        <w:spacing w:before="0" w:after="240"/>
        <w:jc w:val="both"/>
        <w:rPr>
          <w:rFonts w:ascii="Arial" w:hAnsi="Arial"/>
          <w:b/>
          <w:color w:val="000000"/>
          <w:sz w:val="20"/>
        </w:rPr>
      </w:pPr>
      <w:r>
        <w:rPr>
          <w:rFonts w:ascii="Arial" w:hAnsi="Arial"/>
          <w:b/>
          <w:color w:val="000000"/>
          <w:sz w:val="20"/>
        </w:rPr>
        <w:t>(f)</w:t>
      </w:r>
    </w:p>
    <w:p>
      <w:pPr>
        <w:pStyle w:val="TextBody"/>
        <w:bidi w:val="0"/>
        <w:spacing w:before="0" w:after="240"/>
        <w:jc w:val="both"/>
        <w:rPr/>
      </w:pPr>
      <w:r>
        <w:rPr>
          <w:rFonts w:ascii="Arial" w:hAnsi="Arial"/>
          <w:b/>
          <w:color w:val="000000"/>
          <w:sz w:val="20"/>
        </w:rPr>
        <w:t>Duties of Chief Financial Officer.</w:t>
      </w:r>
      <w:r>
        <w:rPr>
          <w:color w:val="000000"/>
        </w:rPr>
        <w:t xml:space="preserve"> </w:t>
      </w:r>
      <w:r>
        <w:rPr>
          <w:rFonts w:ascii="Arial" w:hAnsi="Arial"/>
          <w:color w:val="000000"/>
          <w:sz w:val="20"/>
        </w:rPr>
        <w:t xml:space="preserve">The Chief Financial Officer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 </w:t>
      </w:r>
    </w:p>
    <w:p>
      <w:pPr>
        <w:pStyle w:val="TextBody"/>
        <w:bidi w:val="0"/>
        <w:spacing w:before="0" w:after="240"/>
        <w:jc w:val="both"/>
        <w:rPr>
          <w:rFonts w:ascii="Arial" w:hAnsi="Arial"/>
          <w:b/>
          <w:color w:val="000000"/>
          <w:sz w:val="20"/>
        </w:rPr>
      </w:pPr>
      <w:r>
        <w:rPr>
          <w:rFonts w:ascii="Arial" w:hAnsi="Arial"/>
          <w:b/>
          <w:color w:val="000000"/>
          <w:sz w:val="20"/>
        </w:rPr>
        <w:t>(g)</w:t>
      </w:r>
    </w:p>
    <w:p>
      <w:pPr>
        <w:pStyle w:val="TextBody"/>
        <w:bidi w:val="0"/>
        <w:spacing w:before="0" w:after="240"/>
        <w:jc w:val="both"/>
        <w:rPr/>
      </w:pPr>
      <w:r>
        <w:rPr>
          <w:rFonts w:ascii="Arial" w:hAnsi="Arial"/>
          <w:b/>
          <w:color w:val="000000"/>
          <w:sz w:val="20"/>
        </w:rPr>
        <w:t>Duties of Treasurer and Assistant Treasurer.</w:t>
      </w:r>
      <w:r>
        <w:rPr>
          <w:color w:val="000000"/>
        </w:rPr>
        <w:t xml:space="preserve"> </w:t>
      </w:r>
      <w:r>
        <w:rPr>
          <w:rFonts w:ascii="Arial" w:hAnsi="Arial"/>
          <w:color w:val="000000"/>
          <w:sz w:val="20"/>
        </w:rPr>
        <w:t xml:space="preserve">Unless another officer has been appointed Chief Financial Officer of the corporation, the Treasurer shall be the chief financial officer of the corporation, shall keep or cause to be kept the books of account of the corporation in a thorough and proper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pPr>
      <w:r>
        <w:rPr>
          <w:rFonts w:ascii="Arial" w:hAnsi="Arial"/>
          <w:color w:val="000000"/>
          <w:sz w:val="20"/>
        </w:rPr>
        <w:t>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w:t>
      </w:r>
      <w:r>
        <w:rPr>
          <w:smallCaps/>
          <w:color w:val="000000"/>
        </w:rPr>
        <w:t xml:space="preserve"> </w:t>
      </w:r>
      <w:r>
        <w:rPr>
          <w:rFonts w:ascii="Arial" w:hAnsi="Arial"/>
          <w:color w:val="000000"/>
          <w:sz w:val="20"/>
        </w:rPr>
        <w:t>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pStyle w:val="TextBody"/>
        <w:bidi w:val="0"/>
        <w:spacing w:before="0" w:after="240"/>
        <w:jc w:val="both"/>
        <w:rPr>
          <w:rFonts w:ascii="Arial" w:hAnsi="Arial"/>
          <w:b/>
          <w:color w:val="000000"/>
          <w:sz w:val="20"/>
        </w:rPr>
      </w:pPr>
      <w:r>
        <w:rPr>
          <w:rFonts w:ascii="Arial" w:hAnsi="Arial"/>
          <w:b/>
          <w:color w:val="000000"/>
          <w:sz w:val="20"/>
        </w:rPr>
        <w:t>Section 3.</w:t>
      </w:r>
    </w:p>
    <w:p>
      <w:pPr>
        <w:pStyle w:val="TextBody"/>
        <w:bidi w:val="0"/>
        <w:spacing w:before="0" w:after="240"/>
        <w:jc w:val="both"/>
        <w:rPr/>
      </w:pPr>
      <w:r>
        <w:rPr>
          <w:rFonts w:ascii="Arial" w:hAnsi="Arial"/>
          <w:b/>
          <w:color w:val="000000"/>
          <w:sz w:val="20"/>
        </w:rPr>
        <w:t>Delegation of Authority</w:t>
      </w:r>
      <w:r>
        <w:rPr>
          <w:rFonts w:ascii="Arial" w:hAnsi="Arial"/>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The Board of Directors may from time to time delegate the powers or duties of any officer to any other officer or agent, notwithstanding any provision hereof.</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 xml:space="preserve">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 </w:t>
      </w:r>
    </w:p>
    <w:p>
      <w:pPr>
        <w:pStyle w:val="TextBody"/>
        <w:bidi w:val="0"/>
        <w:spacing w:before="0" w:after="240"/>
        <w:jc w:val="both"/>
        <w:rPr>
          <w:rFonts w:ascii="Arial" w:hAnsi="Arial"/>
          <w:b/>
          <w:color w:val="000000"/>
          <w:sz w:val="20"/>
        </w:rPr>
      </w:pPr>
      <w:r>
        <w:rPr>
          <w:rFonts w:ascii="Arial" w:hAnsi="Arial"/>
          <w:b/>
          <w:color w:val="000000"/>
          <w:sz w:val="20"/>
        </w:rPr>
        <w:t>Section 4.</w:t>
      </w:r>
    </w:p>
    <w:p>
      <w:pPr>
        <w:pStyle w:val="TextBody"/>
        <w:bidi w:val="0"/>
        <w:spacing w:before="0" w:after="240"/>
        <w:jc w:val="both"/>
        <w:rPr/>
      </w:pPr>
      <w:r>
        <w:rPr>
          <w:rFonts w:ascii="Arial" w:hAnsi="Arial"/>
          <w:b/>
          <w:color w:val="000000"/>
          <w:sz w:val="20"/>
        </w:rPr>
        <w:t>Resignations.</w:t>
      </w:r>
      <w:r>
        <w:rPr>
          <w:color w:val="000000"/>
        </w:rPr>
        <w:t xml:space="preserve"> </w:t>
      </w:r>
      <w:r>
        <w:rPr>
          <w:rFonts w:ascii="Arial" w:hAnsi="Arial"/>
          <w:color w:val="000000"/>
          <w:sz w:val="20"/>
        </w:rPr>
        <w:t>Any officer may resign at any time by giving notice in writing or by electronic transmission to the Board of Directors, 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pStyle w:val="TextBody"/>
        <w:bidi w:val="0"/>
        <w:spacing w:before="0" w:after="240"/>
        <w:jc w:val="both"/>
        <w:rPr>
          <w:rFonts w:ascii="Arial" w:hAnsi="Arial"/>
          <w:b/>
          <w:color w:val="000000"/>
          <w:sz w:val="20"/>
        </w:rPr>
      </w:pPr>
      <w:r>
        <w:rPr>
          <w:rFonts w:ascii="Arial" w:hAnsi="Arial"/>
          <w:b/>
          <w:color w:val="000000"/>
          <w:sz w:val="20"/>
        </w:rPr>
        <w:t>Section 5.</w:t>
      </w:r>
    </w:p>
    <w:p>
      <w:pPr>
        <w:pStyle w:val="TextBody"/>
        <w:bidi w:val="0"/>
        <w:spacing w:before="0" w:after="240"/>
        <w:jc w:val="both"/>
        <w:rPr/>
      </w:pPr>
      <w:r>
        <w:rPr>
          <w:rFonts w:ascii="Arial" w:hAnsi="Arial"/>
          <w:b/>
          <w:color w:val="000000"/>
          <w:sz w:val="20"/>
        </w:rPr>
        <w:t>Removal.</w:t>
      </w:r>
      <w:r>
        <w:rPr>
          <w:color w:val="000000"/>
        </w:rPr>
        <w:t xml:space="preserve"> </w:t>
      </w:r>
      <w:r>
        <w:rPr>
          <w:rFonts w:ascii="Arial" w:hAnsi="Arial"/>
          <w:color w:val="000000"/>
          <w:sz w:val="20"/>
        </w:rPr>
        <w:t>Any officer may be removed from office at any time, either with or without cause, by the Board of Directors, or by any committee thereof or any superior officer upon whom such power of removal has been conferred by the Board of Directors.</w:t>
      </w:r>
    </w:p>
    <w:p>
      <w:pPr>
        <w:pStyle w:val="TextBody"/>
        <w:bidi w:val="0"/>
        <w:spacing w:before="0" w:after="240"/>
        <w:jc w:val="center"/>
        <w:rPr>
          <w:rFonts w:ascii="Arial" w:hAnsi="Arial"/>
          <w:b/>
          <w:caps/>
          <w:color w:val="000000"/>
          <w:sz w:val="20"/>
        </w:rPr>
      </w:pPr>
      <w:r>
        <w:rPr>
          <w:rFonts w:ascii="Arial" w:hAnsi="Arial"/>
          <w:b/>
          <w:caps/>
          <w:color w:val="000000"/>
          <w:sz w:val="20"/>
        </w:rPr>
        <w:t>Article VI</w:t>
      </w:r>
    </w:p>
    <w:p>
      <w:pPr>
        <w:pStyle w:val="TextBody"/>
        <w:bidi w:val="0"/>
        <w:spacing w:before="0" w:after="240"/>
        <w:jc w:val="center"/>
        <w:rPr>
          <w:rFonts w:ascii="Arial" w:hAnsi="Arial"/>
          <w:b/>
          <w:caps/>
          <w:color w:val="000000"/>
          <w:sz w:val="20"/>
        </w:rPr>
      </w:pPr>
      <w:r>
        <w:rPr>
          <w:rFonts w:ascii="Arial" w:hAnsi="Arial"/>
          <w:b/>
          <w:caps/>
          <w:color w:val="000000"/>
          <w:sz w:val="20"/>
        </w:rPr>
        <w:br/>
        <w:br/>
        <w:t>EXECUTION OF CORPORATE INSTRUMENTS AND VOTING OF SECURITIES OWNED BY THE CORPORATION</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Execution of Corporate Instruments.</w:t>
      </w:r>
      <w:r>
        <w:rPr>
          <w:color w:val="000000"/>
        </w:rPr>
        <w:t xml:space="preserve"> </w:t>
      </w:r>
      <w:r>
        <w:rPr>
          <w:rFonts w:ascii="Arial" w:hAnsi="Arial"/>
          <w:color w:val="000000"/>
          <w:sz w:val="20"/>
        </w:rPr>
        <w:t xml:space="preserve">The Board of Directors may, in its discretion, determine the method and designate the 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from time to time authorize so to do. 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Section 2.</w:t>
      </w:r>
    </w:p>
    <w:p>
      <w:pPr>
        <w:pStyle w:val="TextBody"/>
        <w:bidi w:val="0"/>
        <w:spacing w:before="0" w:after="240"/>
        <w:jc w:val="both"/>
        <w:rPr/>
      </w:pPr>
      <w:r>
        <w:rPr>
          <w:rFonts w:ascii="Arial" w:hAnsi="Arial"/>
          <w:b/>
          <w:color w:val="000000"/>
          <w:sz w:val="20"/>
        </w:rPr>
        <w:t>Voting of Securities Owned by the Corporation.</w:t>
      </w:r>
      <w:r>
        <w:rPr>
          <w:color w:val="000000"/>
        </w:rPr>
        <w:t xml:space="preserve"> </w:t>
      </w:r>
      <w:r>
        <w:rPr>
          <w:rFonts w:ascii="Arial" w:hAnsi="Arial"/>
          <w:color w:val="000000"/>
          <w:sz w:val="20"/>
        </w:rPr>
        <w:t>All stock and other securities of or interests in other corporations or entities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pStyle w:val="TextBody"/>
        <w:bidi w:val="0"/>
        <w:spacing w:before="0" w:after="240"/>
        <w:jc w:val="center"/>
        <w:rPr>
          <w:rFonts w:ascii="Arial" w:hAnsi="Arial"/>
          <w:b/>
          <w:caps/>
          <w:color w:val="000000"/>
          <w:sz w:val="20"/>
        </w:rPr>
      </w:pPr>
      <w:r>
        <w:rPr>
          <w:rFonts w:ascii="Arial" w:hAnsi="Arial"/>
          <w:b/>
          <w:caps/>
          <w:color w:val="000000"/>
          <w:sz w:val="20"/>
        </w:rPr>
        <w:t>Article VII</w:t>
      </w:r>
    </w:p>
    <w:p>
      <w:pPr>
        <w:pStyle w:val="TextBody"/>
        <w:bidi w:val="0"/>
        <w:spacing w:before="0" w:after="240"/>
        <w:jc w:val="center"/>
        <w:rPr>
          <w:rFonts w:ascii="Arial" w:hAnsi="Arial"/>
          <w:b/>
          <w:caps/>
          <w:color w:val="000000"/>
          <w:sz w:val="20"/>
        </w:rPr>
      </w:pPr>
      <w:r>
        <w:rPr>
          <w:rFonts w:ascii="Arial" w:hAnsi="Arial"/>
          <w:b/>
          <w:caps/>
          <w:color w:val="000000"/>
          <w:sz w:val="20"/>
        </w:rPr>
        <w:br/>
        <w:br/>
        <w:t>SHARES OF STOCK</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Form and Execution of Certificates.</w:t>
      </w:r>
      <w:r>
        <w:rPr>
          <w:color w:val="000000"/>
        </w:rPr>
        <w:t xml:space="preserve"> </w:t>
      </w:r>
      <w:r>
        <w:rPr>
          <w:rFonts w:ascii="Arial" w:hAnsi="Arial"/>
          <w:color w:val="000000"/>
          <w:sz w:val="20"/>
        </w:rPr>
        <w:t>The shares of the corporation shall be represented by certificates, or shall be uncertificated if so provided by resolution or resolutions of the Board of Directors. Certificates for the shares of stock, if any, shall be in such form</w:t>
      </w:r>
      <w:r>
        <w:rPr>
          <w:color w:val="000000"/>
        </w:rPr>
        <w:t xml:space="preserve"> </w:t>
      </w:r>
      <w:r>
        <w:rPr>
          <w:rFonts w:ascii="Arial" w:hAnsi="Arial"/>
          <w:color w:val="000000"/>
          <w:sz w:val="20"/>
        </w:rPr>
        <w:t>as is consistent with the Articles of Incorporation and applicable law. Every holder of stock in the corporation represented by certificates</w:t>
      </w:r>
      <w:r>
        <w:rPr>
          <w:color w:val="000000"/>
        </w:rPr>
        <w:t xml:space="preserve"> </w:t>
      </w:r>
      <w:r>
        <w:rPr>
          <w:rFonts w:ascii="Arial" w:hAnsi="Arial"/>
          <w:color w:val="000000"/>
          <w:sz w:val="20"/>
        </w:rPr>
        <w:t xml:space="preserve">shall be entitled to have a certificate signed by or in the name of the corporation by any two 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w:t>
      </w:r>
    </w:p>
    <w:p>
      <w:pPr>
        <w:pStyle w:val="TextBody"/>
        <w:bidi w:val="0"/>
        <w:spacing w:before="0" w:after="240"/>
        <w:jc w:val="both"/>
        <w:rPr>
          <w:rFonts w:ascii="Arial" w:hAnsi="Arial"/>
          <w:b/>
          <w:color w:val="000000"/>
          <w:sz w:val="20"/>
        </w:rPr>
      </w:pPr>
      <w:r>
        <w:rPr>
          <w:rFonts w:ascii="Arial" w:hAnsi="Arial"/>
          <w:b/>
          <w:color w:val="000000"/>
          <w:sz w:val="20"/>
        </w:rPr>
        <w:t>Section 2.</w:t>
      </w:r>
    </w:p>
    <w:p>
      <w:pPr>
        <w:pStyle w:val="TextBody"/>
        <w:bidi w:val="0"/>
        <w:spacing w:before="0" w:after="240"/>
        <w:jc w:val="both"/>
        <w:rPr/>
      </w:pPr>
      <w:r>
        <w:rPr>
          <w:rFonts w:ascii="Arial" w:hAnsi="Arial"/>
          <w:b/>
          <w:color w:val="000000"/>
          <w:sz w:val="20"/>
        </w:rPr>
        <w:t>Lost Certificates.</w:t>
      </w:r>
      <w:r>
        <w:rPr>
          <w:color w:val="000000"/>
        </w:rPr>
        <w:t xml:space="preserve"> </w:t>
      </w:r>
      <w:r>
        <w:rPr>
          <w:rFonts w:ascii="Arial" w:hAnsi="Arial"/>
          <w:color w:val="000000"/>
          <w:sz w:val="20"/>
        </w:rPr>
        <w:t xml:space="preserve">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 </w:t>
      </w:r>
    </w:p>
    <w:p>
      <w:pPr>
        <w:pStyle w:val="TextBody"/>
        <w:bidi w:val="0"/>
        <w:spacing w:before="0" w:after="240"/>
        <w:jc w:val="both"/>
        <w:rPr>
          <w:rFonts w:ascii="Arial" w:hAnsi="Arial"/>
          <w:b/>
          <w:color w:val="000000"/>
          <w:sz w:val="20"/>
        </w:rPr>
      </w:pPr>
      <w:r>
        <w:rPr>
          <w:rFonts w:ascii="Arial" w:hAnsi="Arial"/>
          <w:b/>
          <w:color w:val="000000"/>
          <w:sz w:val="20"/>
        </w:rPr>
        <w:t>Section 3.</w:t>
      </w:r>
    </w:p>
    <w:p>
      <w:pPr>
        <w:pStyle w:val="TextBody"/>
        <w:bidi w:val="0"/>
        <w:spacing w:before="0" w:after="240"/>
        <w:jc w:val="both"/>
        <w:rPr/>
      </w:pPr>
      <w:r>
        <w:rPr>
          <w:rFonts w:ascii="Arial" w:hAnsi="Arial"/>
          <w:b/>
          <w:color w:val="000000"/>
          <w:sz w:val="20"/>
        </w:rPr>
        <w:t>Transfers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 xml:space="preserve">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NRS. </w:t>
      </w:r>
    </w:p>
    <w:p>
      <w:pPr>
        <w:pStyle w:val="TextBody"/>
        <w:bidi w:val="0"/>
        <w:spacing w:before="0" w:after="240"/>
        <w:jc w:val="both"/>
        <w:rPr>
          <w:rFonts w:ascii="Arial" w:hAnsi="Arial"/>
          <w:b/>
          <w:color w:val="000000"/>
          <w:sz w:val="20"/>
        </w:rPr>
      </w:pPr>
      <w:r>
        <w:rPr>
          <w:rFonts w:ascii="Arial" w:hAnsi="Arial"/>
          <w:b/>
          <w:color w:val="000000"/>
          <w:sz w:val="20"/>
        </w:rPr>
        <w:t>Section 4.</w:t>
      </w:r>
    </w:p>
    <w:p>
      <w:pPr>
        <w:pStyle w:val="TextBody"/>
        <w:bidi w:val="0"/>
        <w:spacing w:before="0" w:after="240"/>
        <w:jc w:val="both"/>
        <w:rPr/>
      </w:pPr>
      <w:r>
        <w:rPr>
          <w:rFonts w:ascii="Arial" w:hAnsi="Arial"/>
          <w:b/>
          <w:color w:val="000000"/>
          <w:sz w:val="20"/>
        </w:rPr>
        <w:t>Fixing Record Dates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rFonts w:ascii="Arial" w:hAnsi="Arial"/>
          <w:color w:val="000000"/>
          <w:sz w:val="20"/>
        </w:rPr>
      </w:pPr>
      <w:r>
        <w:rPr>
          <w:rFonts w:ascii="Arial" w:hAnsi="Arial"/>
          <w:color w:val="000000"/>
          <w:sz w:val="20"/>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pPr>
      <w:r>
        <w:rPr>
          <w:rFonts w:ascii="Arial" w:hAnsi="Arial"/>
          <w:color w:val="000000"/>
          <w:sz w:val="20"/>
        </w:rPr>
        <w:t xml:space="preserve">day on which the meeting is held. A determination of stockholders of record entitled to notice of or to vote at a meeting of stockholders shall apply to any postponement or adjournment of the meeting; </w:t>
      </w:r>
      <w:r>
        <w:rPr>
          <w:rFonts w:ascii="Arial" w:hAnsi="Arial"/>
          <w:i/>
          <w:color w:val="000000"/>
          <w:sz w:val="20"/>
        </w:rPr>
        <w:t>provided, however,</w:t>
      </w:r>
      <w:r>
        <w:rPr>
          <w:color w:val="000000"/>
        </w:rPr>
        <w:t xml:space="preserve"> </w:t>
      </w:r>
      <w:r>
        <w:rPr>
          <w:rFonts w:ascii="Arial" w:hAnsi="Arial"/>
          <w:color w:val="000000"/>
          <w:sz w:val="20"/>
        </w:rPr>
        <w:t>that the Board of Directors may fix a new record date for the postponed or adjourned meeting, and the Board of Directors must fix a new record date for the postponed or adjourned meeting if the meeting is adjourned or postponed to a date more than 60 days later than the meeting date set for the original meeting.</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 xml:space="preserve">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 </w:t>
      </w:r>
    </w:p>
    <w:p>
      <w:pPr>
        <w:pStyle w:val="TextBody"/>
        <w:bidi w:val="0"/>
        <w:spacing w:before="0" w:after="240"/>
        <w:jc w:val="both"/>
        <w:rPr>
          <w:rFonts w:ascii="Arial" w:hAnsi="Arial"/>
          <w:b/>
          <w:color w:val="000000"/>
          <w:sz w:val="20"/>
        </w:rPr>
      </w:pPr>
      <w:r>
        <w:rPr>
          <w:rFonts w:ascii="Arial" w:hAnsi="Arial"/>
          <w:b/>
          <w:color w:val="000000"/>
          <w:sz w:val="20"/>
        </w:rPr>
        <w:t>Section 5.</w:t>
      </w:r>
    </w:p>
    <w:p>
      <w:pPr>
        <w:pStyle w:val="TextBody"/>
        <w:bidi w:val="0"/>
        <w:spacing w:before="0" w:after="240"/>
        <w:jc w:val="both"/>
        <w:rPr/>
      </w:pPr>
      <w:r>
        <w:rPr>
          <w:rFonts w:ascii="Arial" w:hAnsi="Arial"/>
          <w:b/>
          <w:color w:val="000000"/>
          <w:sz w:val="20"/>
        </w:rPr>
        <w:t>Registered Stockholders.</w:t>
      </w:r>
      <w:r>
        <w:rPr>
          <w:color w:val="000000"/>
        </w:rPr>
        <w:t xml:space="preserve"> </w:t>
      </w:r>
      <w:r>
        <w:rPr>
          <w:rFonts w:ascii="Arial" w:hAnsi="Arial"/>
          <w:color w:val="000000"/>
          <w:sz w:val="20"/>
        </w:rPr>
        <w:t xml:space="preserve">The corporation shall be entitled to recognize the exclusive right of a person registered on its books as the owner of shares to receive dividends or other distributions, and to vote as such owner, and shall not be bound to recognize any equitable or other claim to or interest in such share or shares on the part of any other person whether or not it shall have express or other notice thereof, except as otherwise provided by the laws of Nevada. </w:t>
      </w:r>
    </w:p>
    <w:p>
      <w:pPr>
        <w:pStyle w:val="TextBody"/>
        <w:bidi w:val="0"/>
        <w:spacing w:before="0" w:after="240"/>
        <w:jc w:val="both"/>
        <w:rPr>
          <w:rFonts w:ascii="Arial" w:hAnsi="Arial"/>
          <w:b/>
          <w:color w:val="000000"/>
          <w:sz w:val="20"/>
        </w:rPr>
      </w:pPr>
      <w:r>
        <w:rPr>
          <w:rFonts w:ascii="Arial" w:hAnsi="Arial"/>
          <w:b/>
          <w:color w:val="000000"/>
          <w:sz w:val="20"/>
        </w:rPr>
        <w:t>Section 6.</w:t>
      </w:r>
    </w:p>
    <w:p>
      <w:pPr>
        <w:pStyle w:val="TextBody"/>
        <w:bidi w:val="0"/>
        <w:spacing w:before="0" w:after="240"/>
        <w:jc w:val="both"/>
        <w:rPr/>
      </w:pPr>
      <w:r>
        <w:rPr>
          <w:rFonts w:ascii="Arial" w:hAnsi="Arial"/>
          <w:b/>
          <w:color w:val="000000"/>
          <w:sz w:val="20"/>
        </w:rPr>
        <w:t xml:space="preserve">Additional Powers of the Board. </w:t>
      </w:r>
      <w:r>
        <w:rPr>
          <w:rFonts w:ascii="Arial" w:hAnsi="Arial"/>
          <w:color w:val="000000"/>
          <w:sz w:val="20"/>
        </w:rPr>
        <w:t>In addition to, and without limiting, the powers set forth in these Bylaws, the Board of Directors 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NRS, other applicable law, the Articles of Incorporation and these Bylaws. The Board of Directors may appoint and remove transfer agents and registrars of transfers, and may require all stock certificates to bear the signature of any such transfer agent and/or any such registrar of transfers.</w:t>
      </w:r>
    </w:p>
    <w:p>
      <w:pPr>
        <w:pStyle w:val="TextBody"/>
        <w:bidi w:val="0"/>
        <w:spacing w:before="0" w:after="240"/>
        <w:jc w:val="center"/>
        <w:rPr>
          <w:rFonts w:ascii="Arial" w:hAnsi="Arial"/>
          <w:b/>
          <w:caps/>
          <w:color w:val="000000"/>
          <w:sz w:val="20"/>
        </w:rPr>
      </w:pPr>
      <w:r>
        <w:rPr>
          <w:rFonts w:ascii="Arial" w:hAnsi="Arial"/>
          <w:b/>
          <w:caps/>
          <w:color w:val="000000"/>
          <w:sz w:val="20"/>
        </w:rPr>
        <w:t>Article VIII</w:t>
      </w:r>
    </w:p>
    <w:p>
      <w:pPr>
        <w:pStyle w:val="TextBody"/>
        <w:bidi w:val="0"/>
        <w:spacing w:before="0" w:after="240"/>
        <w:jc w:val="center"/>
        <w:rPr>
          <w:rFonts w:ascii="Arial" w:hAnsi="Arial"/>
          <w:b/>
          <w:caps/>
          <w:color w:val="000000"/>
          <w:sz w:val="20"/>
        </w:rPr>
      </w:pPr>
      <w:r>
        <w:rPr>
          <w:rFonts w:ascii="Arial" w:hAnsi="Arial"/>
          <w:b/>
          <w:caps/>
          <w:color w:val="000000"/>
          <w:sz w:val="20"/>
        </w:rPr>
        <w:br/>
        <w:br/>
        <w:t>OTHER SECURITIES OF THE CORPORATION</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Execution of Other Securities.</w:t>
      </w:r>
      <w:r>
        <w:rPr>
          <w:color w:val="000000"/>
        </w:rPr>
        <w:t xml:space="preserve"> </w:t>
      </w:r>
      <w:r>
        <w:rPr>
          <w:rFonts w:ascii="Arial" w:hAnsi="Arial"/>
          <w:color w:val="000000"/>
          <w:sz w:val="20"/>
        </w:rPr>
        <w:t xml:space="preserve">All bonds, debentures and other corporate securities of the corporation, other than stock certificates (covered in Section 35), may be signed by the Chairperson of the Board of Directors, the Chief Executive Officer, the President or any Vice President, or such other person as may be authorized by the Board of Directors; </w:t>
      </w:r>
      <w:r>
        <w:rPr>
          <w:rFonts w:ascii="Arial" w:hAnsi="Arial"/>
          <w:i/>
          <w:color w:val="000000"/>
          <w:sz w:val="20"/>
        </w:rPr>
        <w:t>provided, however,</w:t>
      </w:r>
      <w:r>
        <w:rPr>
          <w:color w:val="000000"/>
        </w:rPr>
        <w:t xml:space="preserve"> </w:t>
      </w:r>
      <w:r>
        <w:rPr>
          <w:rFonts w:ascii="Arial" w:hAnsi="Arial"/>
          <w:color w:val="000000"/>
          <w:sz w:val="20"/>
        </w:rPr>
        <w:t>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pStyle w:val="TextBody"/>
        <w:bidi w:val="0"/>
        <w:spacing w:before="0" w:after="240"/>
        <w:jc w:val="center"/>
        <w:rPr>
          <w:rFonts w:ascii="Arial" w:hAnsi="Arial"/>
          <w:b/>
          <w:caps/>
          <w:color w:val="000000"/>
          <w:sz w:val="20"/>
        </w:rPr>
      </w:pPr>
      <w:r>
        <w:rPr>
          <w:rFonts w:ascii="Arial" w:hAnsi="Arial"/>
          <w:b/>
          <w:caps/>
          <w:color w:val="000000"/>
          <w:sz w:val="20"/>
        </w:rPr>
        <w:t>Article IX</w:t>
      </w:r>
    </w:p>
    <w:p>
      <w:pPr>
        <w:pStyle w:val="TextBody"/>
        <w:bidi w:val="0"/>
        <w:spacing w:before="0" w:after="240"/>
        <w:jc w:val="center"/>
        <w:rPr>
          <w:rFonts w:ascii="Arial" w:hAnsi="Arial"/>
          <w:b/>
          <w:caps/>
          <w:color w:val="000000"/>
          <w:sz w:val="20"/>
        </w:rPr>
      </w:pPr>
      <w:r>
        <w:rPr>
          <w:rFonts w:ascii="Arial" w:hAnsi="Arial"/>
          <w:b/>
          <w:caps/>
          <w:color w:val="000000"/>
          <w:sz w:val="20"/>
        </w:rPr>
        <w:br/>
        <w:br/>
        <w:t>DIVIDENDS AND OTHER DISTRIBUTIONS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Declaration of Dividends or Other Distributions.</w:t>
      </w:r>
      <w:r>
        <w:rPr>
          <w:color w:val="000000"/>
        </w:rPr>
        <w:t xml:space="preserve"> </w:t>
      </w:r>
      <w:r>
        <w:rPr>
          <w:rFonts w:ascii="Arial" w:hAnsi="Arial"/>
          <w:color w:val="000000"/>
          <w:sz w:val="20"/>
        </w:rPr>
        <w:t xml:space="preserve">Dividends or other distributions upon the capital stock of the corporation, subject to the provisions of the Articles of Incorporation and applicable law, if any, may be declared by the Board of Directors. Dividends and other distributions may be paid in cash, in property, or in shares of the corporation’s capital stock, subject to the provisions of the Articles of Incorporation and applicable law. </w:t>
      </w:r>
    </w:p>
    <w:p>
      <w:pPr>
        <w:pStyle w:val="TextBody"/>
        <w:bidi w:val="0"/>
        <w:spacing w:before="0" w:after="240"/>
        <w:jc w:val="both"/>
        <w:rPr>
          <w:rFonts w:ascii="Arial" w:hAnsi="Arial"/>
          <w:b/>
          <w:color w:val="000000"/>
          <w:sz w:val="20"/>
        </w:rPr>
      </w:pPr>
      <w:r>
        <w:rPr>
          <w:rFonts w:ascii="Arial" w:hAnsi="Arial"/>
          <w:b/>
          <w:color w:val="000000"/>
          <w:sz w:val="20"/>
        </w:rPr>
        <w:t>Section 2.</w:t>
      </w:r>
    </w:p>
    <w:p>
      <w:pPr>
        <w:pStyle w:val="TextBody"/>
        <w:bidi w:val="0"/>
        <w:spacing w:before="0" w:after="240"/>
        <w:jc w:val="both"/>
        <w:rPr/>
      </w:pPr>
      <w:r>
        <w:rPr>
          <w:rFonts w:ascii="Arial" w:hAnsi="Arial"/>
          <w:b/>
          <w:color w:val="000000"/>
          <w:sz w:val="20"/>
        </w:rPr>
        <w:t>Dividend Reserve.</w:t>
      </w:r>
      <w:r>
        <w:rPr>
          <w:color w:val="000000"/>
        </w:rPr>
        <w:t xml:space="preserve"> </w:t>
      </w:r>
      <w:r>
        <w:rPr>
          <w:rFonts w:ascii="Arial" w:hAnsi="Arial"/>
          <w:color w:val="000000"/>
          <w:sz w:val="20"/>
        </w:rPr>
        <w:t xml:space="preserve">Before payment of any dividend or other distribution, there may be set aside out of any funds of the corporation available for dividends or other distributions such sum or sums as the Board of Directors from time to time, in its absolute discretion, determines proper as a reserve or reserves to meet contingencies, or for equalizing dividends or distributions,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 </w:t>
      </w:r>
    </w:p>
    <w:p>
      <w:pPr>
        <w:pStyle w:val="TextBody"/>
        <w:bidi w:val="0"/>
        <w:spacing w:before="0" w:after="240"/>
        <w:jc w:val="center"/>
        <w:rPr>
          <w:rFonts w:ascii="Arial" w:hAnsi="Arial"/>
          <w:b/>
          <w:caps/>
          <w:color w:val="000000"/>
          <w:sz w:val="20"/>
        </w:rPr>
      </w:pPr>
      <w:r>
        <w:rPr>
          <w:rFonts w:ascii="Arial" w:hAnsi="Arial"/>
          <w:b/>
          <w:caps/>
          <w:color w:val="000000"/>
          <w:sz w:val="20"/>
        </w:rPr>
        <w:t>Article X</w:t>
      </w:r>
    </w:p>
    <w:p>
      <w:pPr>
        <w:pStyle w:val="TextBody"/>
        <w:bidi w:val="0"/>
        <w:spacing w:before="0" w:after="240"/>
        <w:jc w:val="center"/>
        <w:rPr>
          <w:rFonts w:ascii="Arial" w:hAnsi="Arial"/>
          <w:b/>
          <w:caps/>
          <w:color w:val="000000"/>
          <w:sz w:val="20"/>
        </w:rPr>
      </w:pPr>
      <w:r>
        <w:rPr>
          <w:rFonts w:ascii="Arial" w:hAnsi="Arial"/>
          <w:b/>
          <w:caps/>
          <w:color w:val="000000"/>
          <w:sz w:val="20"/>
        </w:rPr>
        <w:br/>
        <w:br/>
        <w:t>FISCAL YEAR</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Fiscal Year.</w:t>
      </w:r>
      <w:r>
        <w:rPr>
          <w:color w:val="000000"/>
        </w:rPr>
        <w:t xml:space="preserve"> </w:t>
      </w:r>
      <w:r>
        <w:rPr>
          <w:rFonts w:ascii="Arial" w:hAnsi="Arial"/>
          <w:color w:val="000000"/>
          <w:sz w:val="20"/>
        </w:rPr>
        <w:t>The fiscal year of the corporation shall be fixed by resolution of the Board of Directors.</w:t>
      </w:r>
    </w:p>
    <w:p>
      <w:pPr>
        <w:pStyle w:val="TextBody"/>
        <w:bidi w:val="0"/>
        <w:spacing w:before="0" w:after="240"/>
        <w:jc w:val="center"/>
        <w:rPr>
          <w:rFonts w:ascii="Arial" w:hAnsi="Arial"/>
          <w:b/>
          <w:caps/>
          <w:color w:val="000000"/>
          <w:sz w:val="20"/>
        </w:rPr>
      </w:pPr>
      <w:r>
        <w:rPr>
          <w:rFonts w:ascii="Arial" w:hAnsi="Arial"/>
          <w:b/>
          <w:caps/>
          <w:color w:val="000000"/>
          <w:sz w:val="20"/>
        </w:rPr>
        <w:t>Article XI</w:t>
      </w:r>
    </w:p>
    <w:p>
      <w:pPr>
        <w:pStyle w:val="TextBody"/>
        <w:bidi w:val="0"/>
        <w:spacing w:before="0" w:after="240"/>
        <w:jc w:val="center"/>
        <w:rPr>
          <w:rFonts w:ascii="Arial" w:hAnsi="Arial"/>
          <w:b/>
          <w:caps/>
          <w:color w:val="000000"/>
          <w:sz w:val="20"/>
        </w:rPr>
      </w:pPr>
      <w:r>
        <w:rPr>
          <w:rFonts w:ascii="Arial" w:hAnsi="Arial"/>
          <w:b/>
          <w:caps/>
          <w:color w:val="000000"/>
          <w:sz w:val="20"/>
        </w:rPr>
        <w:br/>
        <w:br/>
        <w:t>INDEMNIFICATION</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Indemnification of Directors, Executive Officers, Employees and Other Agents</w:t>
      </w:r>
      <w:r>
        <w:rPr>
          <w:rFonts w:ascii="Arial" w:hAnsi="Arial"/>
          <w:color w:val="000000"/>
          <w:sz w:val="20"/>
        </w:rPr>
        <w:t xml:space="preserve">. </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pPr>
      <w:r>
        <w:rPr>
          <w:rFonts w:ascii="Arial" w:hAnsi="Arial"/>
          <w:b/>
          <w:color w:val="000000"/>
          <w:sz w:val="20"/>
        </w:rPr>
        <w:t>Directors</w:t>
      </w:r>
      <w:r>
        <w:rPr>
          <w:smallCaps/>
          <w:color w:val="000000"/>
        </w:rPr>
        <w:t xml:space="preserve"> </w:t>
      </w:r>
      <w:r>
        <w:rPr>
          <w:rFonts w:ascii="Arial" w:hAnsi="Arial"/>
          <w:b/>
          <w:color w:val="000000"/>
          <w:sz w:val="20"/>
        </w:rPr>
        <w:t>and Executive Officers</w:t>
      </w:r>
      <w:r>
        <w:rPr>
          <w:rFonts w:ascii="Arial" w:hAnsi="Arial"/>
          <w:b/>
          <w:smallCaps/>
          <w:color w:val="000000"/>
          <w:sz w:val="20"/>
        </w:rPr>
        <w:t xml:space="preserve">. </w:t>
      </w:r>
      <w:r>
        <w:rPr>
          <w:rFonts w:ascii="Arial" w:hAnsi="Arial"/>
          <w:color w:val="000000"/>
          <w:sz w:val="20"/>
        </w:rPr>
        <w:t xml:space="preserve">The corporation shall indemnify to the full extent permitted under and in any manner permitted under the NRS or any other applicable law, any person who is made or threatened to be made a party to or is otherwise involved (as a witness or otherwise) in any threatened, pending, or completed action, suit, or proceeding, whether civil, criminal, administrative, or investigative (hereinafter, a “Proceeding”),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“Another Enterprise”), against expenses (including attorneys’ fees), judgments, fines (including ERISA excise taxes or penalties) and amounts paid in settlement actually and reasonably incurred by him or her in connection with such Proceeding if he or she (x) is not liable pursuant to NRS 78.138 or (y)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Arial" w:hAnsi="Arial"/>
          <w:i/>
          <w:color w:val="000000"/>
          <w:sz w:val="20"/>
        </w:rPr>
        <w:t>provided, however,</w:t>
      </w:r>
      <w:r>
        <w:rPr>
          <w:color w:val="000000"/>
        </w:rPr>
        <w:t xml:space="preserve"> </w:t>
      </w:r>
      <w:r>
        <w:rPr>
          <w:rFonts w:ascii="Arial" w:hAnsi="Arial"/>
          <w:color w:val="000000"/>
          <w:sz w:val="20"/>
        </w:rPr>
        <w:t xml:space="preserve">that the corporation may modify the extent of such indemnification by individual contracts with its directors and executive officers; and, </w:t>
      </w:r>
      <w:r>
        <w:rPr>
          <w:rFonts w:ascii="Arial" w:hAnsi="Arial"/>
          <w:i/>
          <w:color w:val="000000"/>
          <w:sz w:val="20"/>
        </w:rPr>
        <w:t>provided, further,</w:t>
      </w:r>
      <w:r>
        <w:rPr>
          <w:color w:val="000000"/>
        </w:rPr>
        <w:t xml:space="preserve"> </w:t>
      </w:r>
      <w:r>
        <w:rPr>
          <w:rFonts w:ascii="Arial" w:hAnsi="Arial"/>
          <w:color w:val="000000"/>
          <w:sz w:val="20"/>
        </w:rPr>
        <w:t>that the corporation shall not be required to indemnify any director or executive officer in connection with any proceeding (or 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NRS or any other applicable law or (iv) such indemnification is required to be made under subsection (d) of this Section 45.</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pPr>
      <w:r>
        <w:rPr>
          <w:rFonts w:ascii="Arial" w:hAnsi="Arial"/>
          <w:b/>
          <w:color w:val="000000"/>
          <w:sz w:val="20"/>
        </w:rPr>
        <w:t>Other Officers,</w:t>
      </w:r>
      <w:r>
        <w:rPr>
          <w:smallCaps/>
          <w:color w:val="000000"/>
        </w:rPr>
        <w:t xml:space="preserve"> </w:t>
      </w:r>
      <w:r>
        <w:rPr>
          <w:rFonts w:ascii="Arial" w:hAnsi="Arial"/>
          <w:b/>
          <w:color w:val="000000"/>
          <w:sz w:val="20"/>
        </w:rPr>
        <w:t>Employees and Other Agents.</w:t>
      </w:r>
      <w:r>
        <w:rPr>
          <w:color w:val="000000"/>
        </w:rPr>
        <w:t xml:space="preserve"> </w:t>
      </w:r>
      <w:r>
        <w:rPr>
          <w:rFonts w:ascii="Arial" w:hAnsi="Arial"/>
          <w:color w:val="000000"/>
          <w:sz w:val="20"/>
        </w:rPr>
        <w:t>The corporation shall have the power to indemnify (including the power to advance expenses in a manner consistent with subsection (c) of this Section 45) its other officers</w:t>
      </w:r>
      <w:r>
        <w:rPr>
          <w:rFonts w:ascii="Arial" w:hAnsi="Arial"/>
          <w:smallCaps/>
          <w:color w:val="000000"/>
          <w:sz w:val="20"/>
        </w:rPr>
        <w:t xml:space="preserve">, </w:t>
      </w:r>
      <w:r>
        <w:rPr>
          <w:rFonts w:ascii="Arial" w:hAnsi="Arial"/>
          <w:color w:val="000000"/>
          <w:sz w:val="20"/>
        </w:rPr>
        <w:t xml:space="preserve">employees and other agents to the fullest extent permitted under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color w:val="000000"/>
          <w:sz w:val="20"/>
        </w:rPr>
      </w:pPr>
      <w:r>
        <w:rPr>
          <w:rFonts w:ascii="Arial" w:hAnsi="Arial"/>
          <w:color w:val="000000"/>
          <w:sz w:val="20"/>
        </w:rPr>
        <w:t>NRS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pPr>
      <w:r>
        <w:rPr>
          <w:rFonts w:ascii="Arial" w:hAnsi="Arial"/>
          <w:b/>
          <w:color w:val="000000"/>
          <w:sz w:val="20"/>
        </w:rPr>
        <w:t>Expenses.</w:t>
      </w:r>
      <w:r>
        <w:rPr>
          <w:color w:val="000000"/>
        </w:rPr>
        <w:t xml:space="preserve"> </w:t>
      </w:r>
      <w:r>
        <w:rPr>
          <w:rFonts w:ascii="Arial" w:hAnsi="Arial"/>
          <w:color w:val="000000"/>
          <w:sz w:val="20"/>
        </w:rPr>
        <w:t>The corporation shall advance to any person who was or is a party or is threatened to be made a party to any threatened, pending or completed Proceeding, by reason of the fact that such person is or was a director or executive officer</w:t>
      </w:r>
      <w:r>
        <w:rPr>
          <w:rFonts w:ascii="Arial" w:hAnsi="Arial"/>
          <w:smallCaps/>
          <w:color w:val="000000"/>
          <w:sz w:val="20"/>
        </w:rPr>
        <w:t>,</w:t>
      </w:r>
      <w:r>
        <w:rPr>
          <w:color w:val="000000"/>
        </w:rPr>
        <w:t xml:space="preserve"> </w:t>
      </w:r>
      <w:r>
        <w:rPr>
          <w:rFonts w:ascii="Arial" w:hAnsi="Arial"/>
          <w:color w:val="000000"/>
          <w:sz w:val="20"/>
        </w:rPr>
        <w:t>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NRS requires, an advancement of expenses incurred by a director or executive officer in his or her capacity as a director or executive officer</w:t>
      </w:r>
      <w:r>
        <w:rPr>
          <w:smallCaps/>
          <w:color w:val="000000"/>
        </w:rPr>
        <w:t xml:space="preserve"> </w:t>
      </w:r>
      <w:r>
        <w:rPr>
          <w:rFonts w:ascii="Arial" w:hAnsi="Arial"/>
          <w:color w:val="000000"/>
          <w:sz w:val="20"/>
        </w:rPr>
        <w:t>(and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45 or otherwise. 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pPr>
      <w:r>
        <w:rPr>
          <w:rFonts w:ascii="Arial" w:hAnsi="Arial"/>
          <w:b/>
          <w:color w:val="000000"/>
          <w:sz w:val="20"/>
        </w:rPr>
        <w:t xml:space="preserve">Enforcement. </w:t>
      </w:r>
      <w:r>
        <w:rPr>
          <w:rFonts w:ascii="Arial" w:hAnsi="Arial"/>
          <w:color w:val="000000"/>
          <w:sz w:val="20"/>
        </w:rPr>
        <w:t>Without the necessity of entering into an express contract, all rights to indemnification and advances to directors and executive officers under this Section 45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NRS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w:t>
      </w:r>
      <w:r>
        <w:rPr>
          <w:rFonts w:ascii="Arial" w:hAnsi="Arial"/>
          <w:smallCaps/>
          <w:color w:val="000000"/>
          <w:sz w:val="20"/>
        </w:rPr>
        <w:t>.</w:t>
      </w:r>
      <w:r>
        <w:rPr>
          <w:color w:val="000000"/>
        </w:rPr>
        <w:t xml:space="preserve"> </w:t>
      </w:r>
      <w:r>
        <w:rPr>
          <w:rFonts w:ascii="Arial" w:hAnsi="Arial"/>
          <w:color w:val="000000"/>
          <w:sz w:val="20"/>
        </w:rPr>
        <w:t xml:space="preserve">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NRS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color w:val="000000"/>
          <w:sz w:val="20"/>
        </w:rPr>
      </w:pPr>
      <w:r>
        <w:rPr>
          <w:rFonts w:ascii="Arial" w:hAnsi="Arial"/>
          <w:color w:val="000000"/>
          <w:sz w:val="20"/>
        </w:rPr>
        <w:t>not entitled to be indemnified, or to such advancement of expenses, under this Section 45 or otherwise shall be on the corporation.</w:t>
      </w:r>
    </w:p>
    <w:p>
      <w:pPr>
        <w:pStyle w:val="TextBody"/>
        <w:bidi w:val="0"/>
        <w:spacing w:before="0" w:after="240"/>
        <w:jc w:val="both"/>
        <w:rPr>
          <w:rFonts w:ascii="Arial" w:hAnsi="Arial"/>
          <w:b/>
          <w:color w:val="000000"/>
          <w:sz w:val="20"/>
        </w:rPr>
      </w:pPr>
      <w:r>
        <w:rPr>
          <w:rFonts w:ascii="Arial" w:hAnsi="Arial"/>
          <w:b/>
          <w:color w:val="000000"/>
          <w:sz w:val="20"/>
        </w:rPr>
        <w:t>(e)</w:t>
      </w:r>
    </w:p>
    <w:p>
      <w:pPr>
        <w:pStyle w:val="TextBody"/>
        <w:bidi w:val="0"/>
        <w:spacing w:before="0" w:after="240"/>
        <w:jc w:val="both"/>
        <w:rPr/>
      </w:pPr>
      <w:r>
        <w:rPr>
          <w:rFonts w:ascii="Arial" w:hAnsi="Arial"/>
          <w:b/>
          <w:color w:val="000000"/>
          <w:sz w:val="20"/>
        </w:rPr>
        <w:t xml:space="preserve">Non-Exclusivity of Rights. </w:t>
      </w:r>
      <w:r>
        <w:rPr>
          <w:rFonts w:ascii="Arial" w:hAnsi="Arial"/>
          <w:color w:val="000000"/>
          <w:sz w:val="20"/>
        </w:rPr>
        <w:t>The rights conferred on any person by this Section 45 shall not be exclusive of any other right that such person may have or hereafter acquire under any applicable statute, provision of the Articles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NRS, or by any other applicable law.</w:t>
      </w:r>
    </w:p>
    <w:p>
      <w:pPr>
        <w:pStyle w:val="TextBody"/>
        <w:bidi w:val="0"/>
        <w:spacing w:before="0" w:after="240"/>
        <w:jc w:val="both"/>
        <w:rPr>
          <w:rFonts w:ascii="Arial" w:hAnsi="Arial"/>
          <w:b/>
          <w:color w:val="000000"/>
          <w:sz w:val="20"/>
        </w:rPr>
      </w:pPr>
      <w:r>
        <w:rPr>
          <w:rFonts w:ascii="Arial" w:hAnsi="Arial"/>
          <w:b/>
          <w:color w:val="000000"/>
          <w:sz w:val="20"/>
        </w:rPr>
        <w:t>(f)</w:t>
      </w:r>
    </w:p>
    <w:p>
      <w:pPr>
        <w:pStyle w:val="TextBody"/>
        <w:bidi w:val="0"/>
        <w:spacing w:before="0" w:after="240"/>
        <w:jc w:val="both"/>
        <w:rPr/>
      </w:pPr>
      <w:r>
        <w:rPr>
          <w:rFonts w:ascii="Arial" w:hAnsi="Arial"/>
          <w:b/>
          <w:color w:val="000000"/>
          <w:sz w:val="20"/>
        </w:rPr>
        <w:t xml:space="preserve">Survival of Rights. </w:t>
      </w:r>
      <w:r>
        <w:rPr>
          <w:rFonts w:ascii="Arial" w:hAnsi="Arial"/>
          <w:color w:val="000000"/>
          <w:sz w:val="20"/>
        </w:rPr>
        <w:t>The rights conferred on any person by this Bylaw shall continue as to a person who has ceased to be a director,</w:t>
      </w:r>
      <w:r>
        <w:rPr>
          <w:smallCaps/>
          <w:color w:val="000000"/>
        </w:rPr>
        <w:t xml:space="preserve"> </w:t>
      </w:r>
      <w:r>
        <w:rPr>
          <w:rFonts w:ascii="Arial" w:hAnsi="Arial"/>
          <w:color w:val="000000"/>
          <w:sz w:val="20"/>
        </w:rPr>
        <w:t>executive officer, officer, employee or other agent</w:t>
      </w:r>
      <w:r>
        <w:rPr>
          <w:smallCaps/>
          <w:color w:val="000000"/>
        </w:rPr>
        <w:t xml:space="preserve"> </w:t>
      </w:r>
      <w:r>
        <w:rPr>
          <w:rFonts w:ascii="Arial" w:hAnsi="Arial"/>
          <w:color w:val="000000"/>
          <w:sz w:val="20"/>
        </w:rPr>
        <w:t xml:space="preserve">and shall inure to the benefit of the heirs, executors and administrators of such a person. </w:t>
      </w:r>
    </w:p>
    <w:p>
      <w:pPr>
        <w:pStyle w:val="TextBody"/>
        <w:bidi w:val="0"/>
        <w:spacing w:before="0" w:after="240"/>
        <w:jc w:val="both"/>
        <w:rPr>
          <w:rFonts w:ascii="Arial" w:hAnsi="Arial"/>
          <w:b/>
          <w:color w:val="000000"/>
          <w:sz w:val="20"/>
        </w:rPr>
      </w:pPr>
      <w:r>
        <w:rPr>
          <w:rFonts w:ascii="Arial" w:hAnsi="Arial"/>
          <w:b/>
          <w:color w:val="000000"/>
          <w:sz w:val="20"/>
        </w:rPr>
        <w:t>(g)</w:t>
      </w:r>
    </w:p>
    <w:p>
      <w:pPr>
        <w:pStyle w:val="TextBody"/>
        <w:bidi w:val="0"/>
        <w:spacing w:before="0" w:after="240"/>
        <w:jc w:val="both"/>
        <w:rPr/>
      </w:pPr>
      <w:r>
        <w:rPr>
          <w:rFonts w:ascii="Arial" w:hAnsi="Arial"/>
          <w:b/>
          <w:color w:val="000000"/>
          <w:sz w:val="20"/>
        </w:rPr>
        <w:t xml:space="preserve">Insurance. </w:t>
      </w:r>
      <w:r>
        <w:rPr>
          <w:rFonts w:ascii="Arial" w:hAnsi="Arial"/>
          <w:color w:val="000000"/>
          <w:sz w:val="20"/>
        </w:rPr>
        <w:t>To the fullest extent permitted by the NRS or any other applicable law, the corporation, upon approval by the Board of Directors, may purchase and maintain insurance on behalf of any person required or permitted to be indemnified pursuant to this Section 45.</w:t>
      </w:r>
    </w:p>
    <w:p>
      <w:pPr>
        <w:pStyle w:val="TextBody"/>
        <w:bidi w:val="0"/>
        <w:spacing w:before="0" w:after="240"/>
        <w:jc w:val="both"/>
        <w:rPr>
          <w:rFonts w:ascii="Arial" w:hAnsi="Arial"/>
          <w:b/>
          <w:color w:val="000000"/>
          <w:sz w:val="20"/>
        </w:rPr>
      </w:pPr>
      <w:r>
        <w:rPr>
          <w:rFonts w:ascii="Arial" w:hAnsi="Arial"/>
          <w:b/>
          <w:color w:val="000000"/>
          <w:sz w:val="20"/>
        </w:rPr>
        <w:t>(h)</w:t>
      </w:r>
    </w:p>
    <w:p>
      <w:pPr>
        <w:pStyle w:val="TextBody"/>
        <w:bidi w:val="0"/>
        <w:spacing w:before="0" w:after="240"/>
        <w:jc w:val="both"/>
        <w:rPr/>
      </w:pPr>
      <w:r>
        <w:rPr>
          <w:rFonts w:ascii="Arial" w:hAnsi="Arial"/>
          <w:b/>
          <w:color w:val="000000"/>
          <w:sz w:val="20"/>
        </w:rPr>
        <w:t xml:space="preserve">Amendments. </w:t>
      </w:r>
      <w:r>
        <w:rPr>
          <w:rFonts w:ascii="Arial" w:hAnsi="Arial"/>
          <w:color w:val="000000"/>
          <w:sz w:val="20"/>
        </w:rPr>
        <w:t>Any repeal or modification of this Section 45 shall only be prospective and shall not affect the rights under this Section 45 as in effect at the time of the alleged occurrence of any action or omission to act that is the cause of any Proceeding against any agent of the corporation.</w:t>
      </w:r>
    </w:p>
    <w:p>
      <w:pPr>
        <w:pStyle w:val="TextBody"/>
        <w:bidi w:val="0"/>
        <w:spacing w:before="0" w:after="240"/>
        <w:jc w:val="both"/>
        <w:rPr>
          <w:rFonts w:ascii="Arial" w:hAnsi="Arial"/>
          <w:b/>
          <w:color w:val="000000"/>
          <w:sz w:val="20"/>
        </w:rPr>
      </w:pPr>
      <w:r>
        <w:rPr>
          <w:rFonts w:ascii="Arial" w:hAnsi="Arial"/>
          <w:b/>
          <w:color w:val="000000"/>
          <w:sz w:val="20"/>
        </w:rPr>
        <w:t>(i)</w:t>
      </w:r>
    </w:p>
    <w:p>
      <w:pPr>
        <w:pStyle w:val="TextBody"/>
        <w:bidi w:val="0"/>
        <w:spacing w:before="0" w:after="240"/>
        <w:jc w:val="both"/>
        <w:rPr/>
      </w:pPr>
      <w:r>
        <w:rPr>
          <w:rFonts w:ascii="Arial" w:hAnsi="Arial"/>
          <w:b/>
          <w:color w:val="000000"/>
          <w:sz w:val="20"/>
        </w:rPr>
        <w:t xml:space="preserve">Saving Clause. </w:t>
      </w:r>
      <w:r>
        <w:rPr>
          <w:rFonts w:ascii="Arial" w:hAnsi="Arial"/>
          <w:color w:val="000000"/>
          <w:sz w:val="20"/>
        </w:rPr>
        <w:t>If this Article XI or any portion hereof shall be invalidated on any ground by any court of competent jurisdiction, then 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pStyle w:val="TextBody"/>
        <w:bidi w:val="0"/>
        <w:spacing w:before="0" w:after="240"/>
        <w:jc w:val="both"/>
        <w:rPr>
          <w:rFonts w:ascii="Arial" w:hAnsi="Arial"/>
          <w:b/>
          <w:color w:val="000000"/>
          <w:sz w:val="20"/>
        </w:rPr>
      </w:pPr>
      <w:r>
        <w:rPr>
          <w:rFonts w:ascii="Arial" w:hAnsi="Arial"/>
          <w:b/>
          <w:color w:val="000000"/>
          <w:sz w:val="20"/>
        </w:rPr>
        <w:t>(j)</w:t>
      </w:r>
    </w:p>
    <w:p>
      <w:pPr>
        <w:pStyle w:val="TextBody"/>
        <w:bidi w:val="0"/>
        <w:spacing w:before="0" w:after="240"/>
        <w:jc w:val="both"/>
        <w:rPr/>
      </w:pPr>
      <w:r>
        <w:rPr>
          <w:rFonts w:ascii="Arial" w:hAnsi="Arial"/>
          <w:b/>
          <w:color w:val="000000"/>
          <w:sz w:val="20"/>
        </w:rPr>
        <w:t xml:space="preserve">Certain Definitions and Construction of Terms. </w:t>
      </w:r>
      <w:r>
        <w:rPr>
          <w:rFonts w:ascii="Arial" w:hAnsi="Arial"/>
          <w:color w:val="000000"/>
          <w:sz w:val="20"/>
        </w:rPr>
        <w:t>For the purposes of Article XI of these Bylaws, the following definitions and rules of construction shall apply:</w:t>
      </w:r>
    </w:p>
    <w:p>
      <w:pPr>
        <w:pStyle w:val="TextBody"/>
        <w:bidi w:val="0"/>
        <w:spacing w:before="0" w:after="240"/>
        <w:jc w:val="both"/>
        <w:rPr>
          <w:rFonts w:ascii="Arial" w:hAnsi="Arial"/>
          <w:b/>
          <w:color w:val="000000"/>
          <w:sz w:val="20"/>
        </w:rPr>
      </w:pPr>
      <w:r>
        <w:rPr>
          <w:rFonts w:ascii="Arial" w:hAnsi="Arial"/>
          <w:b/>
          <w:color w:val="000000"/>
          <w:sz w:val="20"/>
        </w:rPr>
        <w:t>(i)</w:t>
      </w:r>
    </w:p>
    <w:p>
      <w:pPr>
        <w:pStyle w:val="TextBody"/>
        <w:bidi w:val="0"/>
        <w:spacing w:before="0" w:after="240"/>
        <w:jc w:val="both"/>
        <w:rPr/>
      </w:pPr>
      <w:r>
        <w:rPr>
          <w:rFonts w:ascii="Arial" w:hAnsi="Arial"/>
          <w:color w:val="000000"/>
          <w:sz w:val="20"/>
        </w:rPr>
        <w:t>The term “</w:t>
      </w:r>
      <w:r>
        <w:rPr>
          <w:rFonts w:ascii="Arial" w:hAnsi="Arial"/>
          <w:b/>
          <w:i/>
          <w:color w:val="000000"/>
          <w:sz w:val="20"/>
        </w:rPr>
        <w:t>Proceeding</w:t>
      </w:r>
      <w:r>
        <w:rPr>
          <w:color w:val="000000"/>
        </w:rPr>
        <w:t xml:space="preserve">” </w:t>
      </w:r>
      <w:r>
        <w:rPr>
          <w:rFonts w:ascii="Arial" w:hAnsi="Arial"/>
          <w:color w:val="000000"/>
          <w:sz w:val="20"/>
        </w:rPr>
        <w:t>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bidi w:val="0"/>
        <w:spacing w:before="0" w:after="240"/>
        <w:jc w:val="both"/>
        <w:rPr>
          <w:rFonts w:ascii="Arial" w:hAnsi="Arial"/>
          <w:b/>
          <w:color w:val="000000"/>
          <w:sz w:val="20"/>
        </w:rPr>
      </w:pPr>
      <w:r>
        <w:rPr>
          <w:rFonts w:ascii="Arial" w:hAnsi="Arial"/>
          <w:b/>
          <w:color w:val="000000"/>
          <w:sz w:val="20"/>
        </w:rPr>
        <w:t>(ii)</w:t>
      </w:r>
    </w:p>
    <w:p>
      <w:pPr>
        <w:pStyle w:val="TextBody"/>
        <w:bidi w:val="0"/>
        <w:spacing w:before="0" w:after="240"/>
        <w:jc w:val="both"/>
        <w:rPr/>
      </w:pPr>
      <w:r>
        <w:rPr>
          <w:rFonts w:ascii="Arial" w:hAnsi="Arial"/>
          <w:color w:val="000000"/>
          <w:sz w:val="20"/>
        </w:rPr>
        <w:t>The term “</w:t>
      </w:r>
      <w:r>
        <w:rPr>
          <w:rFonts w:ascii="Arial" w:hAnsi="Arial"/>
          <w:b/>
          <w:i/>
          <w:color w:val="000000"/>
          <w:sz w:val="20"/>
        </w:rPr>
        <w:t>expenses</w:t>
      </w:r>
      <w:r>
        <w:rPr>
          <w:color w:val="000000"/>
        </w:rPr>
        <w:t xml:space="preserve">” </w:t>
      </w:r>
      <w:r>
        <w:rPr>
          <w:rFonts w:ascii="Arial" w:hAnsi="Arial"/>
          <w:color w:val="000000"/>
          <w:sz w:val="20"/>
        </w:rPr>
        <w:t>shall be broadly construed and shall include, without limitation, court costs, attorneys’ fees, witness fees, fines, amounts paid in settlement or judgment and any other costs and expenses of any nature or kind incurred in connection with any Proceeding.</w:t>
      </w:r>
    </w:p>
    <w:p>
      <w:pPr>
        <w:pStyle w:val="TextBody"/>
        <w:bidi w:val="0"/>
        <w:spacing w:before="0" w:after="240"/>
        <w:jc w:val="both"/>
        <w:rPr>
          <w:rFonts w:ascii="Arial" w:hAnsi="Arial"/>
          <w:b/>
          <w:color w:val="000000"/>
          <w:sz w:val="20"/>
        </w:rPr>
      </w:pPr>
      <w:r>
        <w:rPr>
          <w:rFonts w:ascii="Arial" w:hAnsi="Arial"/>
          <w:b/>
          <w:color w:val="000000"/>
          <w:sz w:val="20"/>
        </w:rPr>
        <w:t>(iii)</w:t>
      </w:r>
    </w:p>
    <w:p>
      <w:pPr>
        <w:pStyle w:val="TextBody"/>
        <w:bidi w:val="0"/>
        <w:spacing w:before="0" w:after="240"/>
        <w:jc w:val="both"/>
        <w:rPr/>
      </w:pPr>
      <w:r>
        <w:rPr>
          <w:rFonts w:ascii="Arial" w:hAnsi="Arial"/>
          <w:color w:val="000000"/>
          <w:sz w:val="20"/>
        </w:rPr>
        <w:t>The term the “</w:t>
      </w:r>
      <w:r>
        <w:rPr>
          <w:rFonts w:ascii="Arial" w:hAnsi="Arial"/>
          <w:b/>
          <w:i/>
          <w:color w:val="000000"/>
          <w:sz w:val="20"/>
        </w:rPr>
        <w:t>corporation</w:t>
      </w:r>
      <w:r>
        <w:rPr>
          <w:color w:val="000000"/>
        </w:rPr>
        <w:t xml:space="preserve">” </w:t>
      </w:r>
      <w:r>
        <w:rPr>
          <w:rFonts w:ascii="Arial" w:hAnsi="Arial"/>
          <w:color w:val="000000"/>
          <w:sz w:val="20"/>
        </w:rPr>
        <w:t>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pStyle w:val="TextBody"/>
        <w:bidi w:val="0"/>
        <w:spacing w:before="0" w:after="240"/>
        <w:jc w:val="both"/>
        <w:rPr>
          <w:rFonts w:ascii="Arial" w:hAnsi="Arial"/>
          <w:b/>
          <w:color w:val="000000"/>
          <w:sz w:val="20"/>
        </w:rPr>
      </w:pPr>
      <w:r>
        <w:rPr>
          <w:rFonts w:ascii="Arial" w:hAnsi="Arial"/>
          <w:b/>
          <w:color w:val="000000"/>
          <w:sz w:val="20"/>
        </w:rPr>
        <w:t>(iv)</w:t>
      </w:r>
    </w:p>
    <w:p>
      <w:pPr>
        <w:pStyle w:val="TextBody"/>
        <w:bidi w:val="0"/>
        <w:spacing w:before="0" w:after="240"/>
        <w:jc w:val="both"/>
        <w:rPr/>
      </w:pPr>
      <w:r>
        <w:rPr>
          <w:rFonts w:ascii="Arial" w:hAnsi="Arial"/>
          <w:color w:val="000000"/>
          <w:sz w:val="20"/>
        </w:rPr>
        <w:t>References to a “</w:t>
      </w:r>
      <w:r>
        <w:rPr>
          <w:rFonts w:ascii="Arial" w:hAnsi="Arial"/>
          <w:b/>
          <w:i/>
          <w:color w:val="000000"/>
          <w:sz w:val="20"/>
        </w:rPr>
        <w:t>director</w:t>
      </w:r>
      <w:r>
        <w:rPr>
          <w:rFonts w:ascii="Arial" w:hAnsi="Arial"/>
          <w:color w:val="000000"/>
          <w:sz w:val="20"/>
        </w:rPr>
        <w:t>,” “</w:t>
      </w:r>
      <w:r>
        <w:rPr>
          <w:rFonts w:ascii="Arial" w:hAnsi="Arial"/>
          <w:b/>
          <w:i/>
          <w:color w:val="000000"/>
          <w:sz w:val="20"/>
        </w:rPr>
        <w:t>executive officer</w:t>
      </w:r>
      <w:r>
        <w:rPr>
          <w:rFonts w:ascii="Arial" w:hAnsi="Arial"/>
          <w:color w:val="000000"/>
          <w:sz w:val="20"/>
        </w:rPr>
        <w:t>,” “</w:t>
      </w:r>
      <w:r>
        <w:rPr>
          <w:rFonts w:ascii="Arial" w:hAnsi="Arial"/>
          <w:b/>
          <w:i/>
          <w:color w:val="000000"/>
          <w:sz w:val="20"/>
        </w:rPr>
        <w:t>officer</w:t>
      </w:r>
      <w:r>
        <w:rPr>
          <w:rFonts w:ascii="Arial" w:hAnsi="Arial"/>
          <w:color w:val="000000"/>
          <w:sz w:val="20"/>
        </w:rPr>
        <w:t>,” “</w:t>
      </w:r>
      <w:r>
        <w:rPr>
          <w:rFonts w:ascii="Arial" w:hAnsi="Arial"/>
          <w:b/>
          <w:i/>
          <w:color w:val="000000"/>
          <w:sz w:val="20"/>
        </w:rPr>
        <w:t>employee</w:t>
      </w:r>
      <w:r>
        <w:rPr>
          <w:rFonts w:ascii="Arial" w:hAnsi="Arial"/>
          <w:color w:val="000000"/>
          <w:sz w:val="20"/>
        </w:rPr>
        <w:t>,” or “</w:t>
      </w:r>
      <w:r>
        <w:rPr>
          <w:rFonts w:ascii="Arial" w:hAnsi="Arial"/>
          <w:b/>
          <w:i/>
          <w:color w:val="000000"/>
          <w:sz w:val="20"/>
        </w:rPr>
        <w:t>agent</w:t>
      </w:r>
      <w:r>
        <w:rPr>
          <w:color w:val="000000"/>
        </w:rPr>
        <w:t xml:space="preserve">” </w:t>
      </w:r>
      <w:r>
        <w:rPr>
          <w:rFonts w:ascii="Arial" w:hAnsi="Arial"/>
          <w:color w:val="000000"/>
          <w:sz w:val="20"/>
        </w:rPr>
        <w:t xml:space="preserve">of the corporation shall include, without limitation, situations where such person is serving at the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color w:val="000000"/>
          <w:sz w:val="20"/>
        </w:rPr>
      </w:pPr>
      <w:r>
        <w:rPr>
          <w:rFonts w:ascii="Arial" w:hAnsi="Arial"/>
          <w:color w:val="000000"/>
          <w:sz w:val="20"/>
        </w:rPr>
        <w:t>request of the corporation as, respectively, a director, executive officer, officer, managing member or manager, employee, trustee or agent of another corporation, limited liability company, partnership, joint venture, trust or other enterprise.</w:t>
      </w:r>
    </w:p>
    <w:p>
      <w:pPr>
        <w:pStyle w:val="TextBody"/>
        <w:bidi w:val="0"/>
        <w:spacing w:before="0" w:after="240"/>
        <w:jc w:val="both"/>
        <w:rPr>
          <w:rFonts w:ascii="Arial" w:hAnsi="Arial"/>
          <w:b/>
          <w:color w:val="000000"/>
          <w:sz w:val="20"/>
        </w:rPr>
      </w:pPr>
      <w:r>
        <w:rPr>
          <w:rFonts w:ascii="Arial" w:hAnsi="Arial"/>
          <w:b/>
          <w:color w:val="000000"/>
          <w:sz w:val="20"/>
        </w:rPr>
        <w:t>(v)</w:t>
      </w:r>
    </w:p>
    <w:p>
      <w:pPr>
        <w:pStyle w:val="TextBody"/>
        <w:bidi w:val="0"/>
        <w:spacing w:before="0" w:after="240"/>
        <w:jc w:val="both"/>
        <w:rPr/>
      </w:pPr>
      <w:r>
        <w:rPr>
          <w:rFonts w:ascii="Arial" w:hAnsi="Arial"/>
          <w:color w:val="000000"/>
          <w:sz w:val="20"/>
        </w:rPr>
        <w:t>References to “</w:t>
      </w:r>
      <w:r>
        <w:rPr>
          <w:rFonts w:ascii="Arial" w:hAnsi="Arial"/>
          <w:b/>
          <w:i/>
          <w:color w:val="000000"/>
          <w:sz w:val="20"/>
        </w:rPr>
        <w:t>Another Enterprise</w:t>
      </w:r>
      <w:r>
        <w:rPr>
          <w:color w:val="000000"/>
        </w:rPr>
        <w:t xml:space="preserve">” </w:t>
      </w:r>
      <w:r>
        <w:rPr>
          <w:rFonts w:ascii="Arial" w:hAnsi="Arial"/>
          <w:color w:val="000000"/>
          <w:sz w:val="20"/>
        </w:rPr>
        <w:t>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45.</w:t>
      </w:r>
    </w:p>
    <w:p>
      <w:pPr>
        <w:pStyle w:val="TextBody"/>
        <w:bidi w:val="0"/>
        <w:spacing w:before="0" w:after="240"/>
        <w:jc w:val="center"/>
        <w:rPr>
          <w:rFonts w:ascii="Arial" w:hAnsi="Arial"/>
          <w:b/>
          <w:caps/>
          <w:color w:val="000000"/>
          <w:sz w:val="20"/>
        </w:rPr>
      </w:pPr>
      <w:r>
        <w:rPr>
          <w:rFonts w:ascii="Arial" w:hAnsi="Arial"/>
          <w:b/>
          <w:caps/>
          <w:color w:val="000000"/>
          <w:sz w:val="20"/>
        </w:rPr>
        <w:t>Article XII</w:t>
      </w:r>
    </w:p>
    <w:p>
      <w:pPr>
        <w:pStyle w:val="TextBody"/>
        <w:bidi w:val="0"/>
        <w:spacing w:before="0" w:after="240"/>
        <w:jc w:val="center"/>
        <w:rPr>
          <w:rFonts w:ascii="Arial" w:hAnsi="Arial"/>
          <w:b/>
          <w:caps/>
          <w:color w:val="000000"/>
          <w:sz w:val="20"/>
        </w:rPr>
      </w:pPr>
      <w:r>
        <w:rPr>
          <w:rFonts w:ascii="Arial" w:hAnsi="Arial"/>
          <w:b/>
          <w:caps/>
          <w:color w:val="000000"/>
          <w:sz w:val="20"/>
        </w:rPr>
        <w:br/>
        <w:br/>
        <w:t>NOTICES</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Notices</w:t>
      </w:r>
      <w:r>
        <w:rPr>
          <w:rFonts w:ascii="Arial" w:hAnsi="Arial"/>
          <w:color w:val="000000"/>
          <w:sz w:val="20"/>
        </w:rPr>
        <w:t>.</w:t>
      </w:r>
    </w:p>
    <w:p>
      <w:pPr>
        <w:pStyle w:val="TextBody"/>
        <w:bidi w:val="0"/>
        <w:spacing w:before="0" w:after="240"/>
        <w:jc w:val="both"/>
        <w:rPr>
          <w:rFonts w:ascii="Arial" w:hAnsi="Arial"/>
          <w:b/>
          <w:color w:val="000000"/>
          <w:sz w:val="20"/>
        </w:rPr>
      </w:pPr>
      <w:r>
        <w:rPr>
          <w:rFonts w:ascii="Arial" w:hAnsi="Arial"/>
          <w:b/>
          <w:color w:val="000000"/>
          <w:sz w:val="20"/>
        </w:rPr>
        <w:t>(a)</w:t>
      </w:r>
    </w:p>
    <w:p>
      <w:pPr>
        <w:pStyle w:val="TextBody"/>
        <w:bidi w:val="0"/>
        <w:spacing w:before="0" w:after="240"/>
        <w:jc w:val="both"/>
        <w:rPr/>
      </w:pPr>
      <w:r>
        <w:rPr>
          <w:rFonts w:ascii="Arial" w:hAnsi="Arial"/>
          <w:b/>
          <w:color w:val="000000"/>
          <w:sz w:val="20"/>
        </w:rPr>
        <w:t>Notice to Stockholders.</w:t>
      </w:r>
      <w:r>
        <w:rPr>
          <w:color w:val="000000"/>
        </w:rPr>
        <w:t xml:space="preserve"> </w:t>
      </w:r>
      <w:r>
        <w:rPr>
          <w:rFonts w:ascii="Arial" w:hAnsi="Arial"/>
          <w:color w:val="000000"/>
          <w:sz w:val="20"/>
        </w:rPr>
        <w:t xml:space="preserve">Notice to stockholders of stockholder meetings shall be given as provided in Section 7. Without limiting the 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 </w:t>
      </w:r>
    </w:p>
    <w:p>
      <w:pPr>
        <w:pStyle w:val="TextBody"/>
        <w:bidi w:val="0"/>
        <w:spacing w:before="0" w:after="240"/>
        <w:jc w:val="both"/>
        <w:rPr>
          <w:rFonts w:ascii="Arial" w:hAnsi="Arial"/>
          <w:b/>
          <w:color w:val="000000"/>
          <w:sz w:val="20"/>
        </w:rPr>
      </w:pPr>
      <w:r>
        <w:rPr>
          <w:rFonts w:ascii="Arial" w:hAnsi="Arial"/>
          <w:b/>
          <w:color w:val="000000"/>
          <w:sz w:val="20"/>
        </w:rPr>
        <w:t>(b)</w:t>
      </w:r>
    </w:p>
    <w:p>
      <w:pPr>
        <w:pStyle w:val="TextBody"/>
        <w:bidi w:val="0"/>
        <w:spacing w:before="0" w:after="240"/>
        <w:jc w:val="both"/>
        <w:rPr/>
      </w:pPr>
      <w:r>
        <w:rPr>
          <w:rFonts w:ascii="Arial" w:hAnsi="Arial"/>
          <w:b/>
          <w:color w:val="000000"/>
          <w:sz w:val="20"/>
        </w:rPr>
        <w:t xml:space="preserve">Notice to Directors. </w:t>
      </w:r>
      <w:r>
        <w:rPr>
          <w:rFonts w:ascii="Arial" w:hAnsi="Arial"/>
          <w:color w:val="000000"/>
          <w:sz w:val="20"/>
        </w:rPr>
        <w:t>Any notice required to be given to any director may be given by the method stated in subsection (a), as otherwise 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address or electronic mail address of such director.</w:t>
      </w:r>
    </w:p>
    <w:p>
      <w:pPr>
        <w:pStyle w:val="TextBody"/>
        <w:bidi w:val="0"/>
        <w:spacing w:before="0" w:after="240"/>
        <w:jc w:val="both"/>
        <w:rPr>
          <w:rFonts w:ascii="Arial" w:hAnsi="Arial"/>
          <w:b/>
          <w:color w:val="000000"/>
          <w:sz w:val="20"/>
        </w:rPr>
      </w:pPr>
      <w:r>
        <w:rPr>
          <w:rFonts w:ascii="Arial" w:hAnsi="Arial"/>
          <w:b/>
          <w:color w:val="000000"/>
          <w:sz w:val="20"/>
        </w:rPr>
        <w:t>(c)</w:t>
      </w:r>
    </w:p>
    <w:p>
      <w:pPr>
        <w:pStyle w:val="TextBody"/>
        <w:bidi w:val="0"/>
        <w:spacing w:before="0" w:after="240"/>
        <w:jc w:val="both"/>
        <w:rPr/>
      </w:pPr>
      <w:r>
        <w:rPr>
          <w:rFonts w:ascii="Arial" w:hAnsi="Arial"/>
          <w:b/>
          <w:color w:val="000000"/>
          <w:sz w:val="20"/>
        </w:rPr>
        <w:t xml:space="preserve">Affidavit of Mailing. </w:t>
      </w:r>
      <w:r>
        <w:rPr>
          <w:rFonts w:ascii="Arial" w:hAnsi="Arial"/>
          <w:color w:val="000000"/>
          <w:sz w:val="20"/>
        </w:rPr>
        <w:t xml:space="preserve">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w:t>
      </w:r>
    </w:p>
    <w:p>
      <w:pPr>
        <w:pStyle w:val="TextBody"/>
        <w:bidi w:val="0"/>
        <w:spacing w:before="0" w:after="240"/>
        <w:jc w:val="both"/>
        <w:rPr>
          <w:rFonts w:ascii="Arial" w:hAnsi="Arial"/>
          <w:b/>
          <w:color w:val="000000"/>
          <w:sz w:val="20"/>
        </w:rPr>
      </w:pPr>
      <w:r>
        <w:rPr>
          <w:rFonts w:ascii="Arial" w:hAnsi="Arial"/>
          <w:b/>
          <w:color w:val="000000"/>
          <w:sz w:val="20"/>
        </w:rPr>
        <w:t>(d)</w:t>
      </w:r>
    </w:p>
    <w:p>
      <w:pPr>
        <w:pStyle w:val="TextBody"/>
        <w:bidi w:val="0"/>
        <w:spacing w:before="0" w:after="240"/>
        <w:jc w:val="both"/>
        <w:rPr/>
      </w:pPr>
      <w:r>
        <w:rPr>
          <w:rFonts w:ascii="Arial" w:hAnsi="Arial"/>
          <w:b/>
          <w:color w:val="000000"/>
          <w:sz w:val="20"/>
        </w:rPr>
        <w:t xml:space="preserve">Methods of Notice. </w:t>
      </w:r>
      <w:r>
        <w:rPr>
          <w:rFonts w:ascii="Arial" w:hAnsi="Arial"/>
          <w:color w:val="000000"/>
          <w:sz w:val="20"/>
        </w:rPr>
        <w:t>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pStyle w:val="TextBody"/>
        <w:bidi w:val="0"/>
        <w:spacing w:before="0" w:after="240"/>
        <w:jc w:val="both"/>
        <w:rPr>
          <w:rFonts w:ascii="Arial" w:hAnsi="Arial"/>
          <w:b/>
          <w:color w:val="000000"/>
          <w:sz w:val="20"/>
        </w:rPr>
      </w:pPr>
      <w:r>
        <w:rPr>
          <w:rFonts w:ascii="Arial" w:hAnsi="Arial"/>
          <w:b/>
          <w:color w:val="000000"/>
          <w:sz w:val="20"/>
        </w:rPr>
        <w:t>(e)</w:t>
      </w:r>
    </w:p>
    <w:p>
      <w:pPr>
        <w:pStyle w:val="TextBody"/>
        <w:bidi w:val="0"/>
        <w:spacing w:before="0" w:after="240"/>
        <w:jc w:val="both"/>
        <w:rPr/>
      </w:pPr>
      <w:r>
        <w:rPr>
          <w:rFonts w:ascii="Arial" w:hAnsi="Arial"/>
          <w:b/>
          <w:color w:val="000000"/>
          <w:sz w:val="20"/>
        </w:rPr>
        <w:t xml:space="preserve">Notice to Person with Whom Communication is Unlawful. </w:t>
      </w:r>
      <w:r>
        <w:rPr>
          <w:rFonts w:ascii="Arial" w:hAnsi="Arial"/>
          <w:color w:val="000000"/>
          <w:sz w:val="20"/>
        </w:rPr>
        <w:t>Whenever notice is required to be given, under applicable law or any provision of the Articles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NRS, the certificate shall state, if such is the fact and if notice is required, that notice was given to all persons entitled to receive notice except such persons with whom communication is unlawful.</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(f)</w:t>
      </w:r>
    </w:p>
    <w:p>
      <w:pPr>
        <w:pStyle w:val="TextBody"/>
        <w:bidi w:val="0"/>
        <w:spacing w:before="0" w:after="240"/>
        <w:jc w:val="both"/>
        <w:rPr/>
      </w:pPr>
      <w:r>
        <w:rPr>
          <w:rFonts w:ascii="Arial" w:hAnsi="Arial"/>
          <w:b/>
          <w:color w:val="000000"/>
          <w:sz w:val="20"/>
        </w:rPr>
        <w:t xml:space="preserve">Notice to Stockholders Sharing an Address. </w:t>
      </w:r>
      <w:r>
        <w:rPr>
          <w:rFonts w:ascii="Arial" w:hAnsi="Arial"/>
          <w:color w:val="000000"/>
          <w:sz w:val="20"/>
        </w:rPr>
        <w:t xml:space="preserve">Except as otherwise prohibited under the NRS, any notice given under the provisions of the NRS, the Articles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 </w:t>
      </w:r>
    </w:p>
    <w:p>
      <w:pPr>
        <w:pStyle w:val="TextBody"/>
        <w:bidi w:val="0"/>
        <w:spacing w:before="0" w:after="240"/>
        <w:jc w:val="center"/>
        <w:rPr>
          <w:rFonts w:ascii="Arial" w:hAnsi="Arial"/>
          <w:b/>
          <w:caps/>
          <w:color w:val="000000"/>
          <w:sz w:val="20"/>
        </w:rPr>
      </w:pPr>
      <w:r>
        <w:rPr>
          <w:rFonts w:ascii="Arial" w:hAnsi="Arial"/>
          <w:b/>
          <w:caps/>
          <w:color w:val="000000"/>
          <w:sz w:val="20"/>
        </w:rPr>
        <w:t>Article XIII</w:t>
      </w:r>
    </w:p>
    <w:p>
      <w:pPr>
        <w:pStyle w:val="TextBody"/>
        <w:bidi w:val="0"/>
        <w:spacing w:before="0" w:after="240"/>
        <w:jc w:val="center"/>
        <w:rPr/>
      </w:pPr>
      <w:r>
        <w:rPr>
          <w:rFonts w:ascii="Arial" w:hAnsi="Arial"/>
          <w:b/>
          <w:caps/>
          <w:color w:val="000000"/>
          <w:sz w:val="20"/>
        </w:rPr>
        <w:br/>
        <w:br/>
      </w:r>
      <w:r>
        <w:rPr>
          <w:rFonts w:ascii="Arial" w:hAnsi="Arial"/>
          <w:b/>
          <w:smallCaps/>
          <w:color w:val="000000"/>
          <w:sz w:val="20"/>
        </w:rPr>
        <w:t>AMENDMENTS</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 xml:space="preserve">Amendments. </w:t>
      </w:r>
      <w:r>
        <w:rPr>
          <w:rFonts w:ascii="Arial" w:hAnsi="Arial"/>
          <w:color w:val="000000"/>
          <w:sz w:val="20"/>
        </w:rPr>
        <w:t xml:space="preserve">Subject to the limitations set forth in herein or the provisions of the Articles of 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hAnsi="Arial"/>
          <w:i/>
          <w:color w:val="000000"/>
          <w:sz w:val="20"/>
        </w:rPr>
        <w:t xml:space="preserve">provided, however, </w:t>
      </w:r>
      <w:r>
        <w:rPr>
          <w:rFonts w:ascii="Arial" w:hAnsi="Arial"/>
          <w:color w:val="000000"/>
          <w:sz w:val="20"/>
        </w:rPr>
        <w:t>that, any time after the Final Conversion Date, in addition to any vote of the holders of any class or series of stock of the corporation required by law or by the Articles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pStyle w:val="TextBody"/>
        <w:bidi w:val="0"/>
        <w:spacing w:before="0" w:after="240"/>
        <w:jc w:val="center"/>
        <w:rPr>
          <w:rFonts w:ascii="Arial" w:hAnsi="Arial"/>
          <w:b/>
          <w:caps/>
          <w:color w:val="000000"/>
          <w:sz w:val="20"/>
        </w:rPr>
      </w:pPr>
      <w:r>
        <w:rPr>
          <w:rFonts w:ascii="Arial" w:hAnsi="Arial"/>
          <w:b/>
          <w:caps/>
          <w:color w:val="000000"/>
          <w:sz w:val="20"/>
        </w:rPr>
        <w:t>Article XIV</w:t>
      </w:r>
    </w:p>
    <w:p>
      <w:pPr>
        <w:pStyle w:val="TextBody"/>
        <w:bidi w:val="0"/>
        <w:spacing w:before="0" w:after="240"/>
        <w:jc w:val="center"/>
        <w:rPr>
          <w:rFonts w:ascii="Arial" w:hAnsi="Arial"/>
          <w:b/>
          <w:caps/>
          <w:color w:val="000000"/>
          <w:sz w:val="20"/>
        </w:rPr>
      </w:pPr>
      <w:r>
        <w:rPr>
          <w:rFonts w:ascii="Arial" w:hAnsi="Arial"/>
          <w:b/>
          <w:caps/>
          <w:color w:val="000000"/>
          <w:sz w:val="20"/>
        </w:rPr>
        <w:br/>
        <w:br/>
        <w:t>LOANS TO OFFICERS</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pPr>
      <w:r>
        <w:rPr>
          <w:rFonts w:ascii="Arial" w:hAnsi="Arial"/>
          <w:b/>
          <w:color w:val="000000"/>
          <w:sz w:val="20"/>
        </w:rPr>
        <w:t>Loans to Officers.</w:t>
      </w:r>
      <w:r>
        <w:rPr>
          <w:color w:val="000000"/>
        </w:rPr>
        <w:t xml:space="preserve"> </w:t>
      </w:r>
      <w:r>
        <w:rPr>
          <w:rFonts w:ascii="Arial" w:hAnsi="Arial"/>
          <w:color w:val="000000"/>
          <w:sz w:val="20"/>
        </w:rPr>
        <w:t>Except as otherwise prohibited by applicable law,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pStyle w:val="TextBody"/>
        <w:bidi w:val="0"/>
        <w:spacing w:before="0" w:after="240"/>
        <w:jc w:val="center"/>
        <w:rPr>
          <w:rFonts w:ascii="Arial" w:hAnsi="Arial"/>
          <w:b/>
          <w:caps/>
          <w:color w:val="000000"/>
          <w:sz w:val="20"/>
        </w:rPr>
      </w:pPr>
      <w:r>
        <w:rPr>
          <w:rFonts w:ascii="Arial" w:hAnsi="Arial"/>
          <w:b/>
          <w:caps/>
          <w:color w:val="000000"/>
          <w:sz w:val="20"/>
        </w:rPr>
        <w:t>Article XV</w:t>
      </w:r>
    </w:p>
    <w:p>
      <w:pPr>
        <w:pStyle w:val="TextBody"/>
        <w:bidi w:val="0"/>
        <w:spacing w:before="0" w:after="240"/>
        <w:jc w:val="center"/>
        <w:rPr>
          <w:rFonts w:ascii="Arial" w:hAnsi="Arial"/>
          <w:b/>
          <w:caps/>
          <w:color w:val="000000"/>
          <w:sz w:val="20"/>
        </w:rPr>
      </w:pPr>
      <w:r>
        <w:rPr>
          <w:rFonts w:ascii="Arial" w:hAnsi="Arial"/>
          <w:b/>
          <w:caps/>
          <w:color w:val="000000"/>
          <w:sz w:val="20"/>
        </w:rPr>
        <w:br/>
        <w:br/>
        <w:t>CHANGES IN NEVADA LAW</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rFonts w:ascii="Arial" w:hAnsi="Arial"/>
          <w:color w:val="000000"/>
          <w:sz w:val="20"/>
        </w:rPr>
      </w:pPr>
      <w:r>
        <w:rPr>
          <w:rFonts w:ascii="Arial" w:hAnsi="Arial"/>
          <w:color w:val="000000"/>
          <w:sz w:val="20"/>
        </w:rPr>
        <w:t xml:space="preserve">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XI,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 </w:t>
      </w:r>
    </w:p>
    <w:p>
      <w:pPr>
        <w:pStyle w:val="TextBody"/>
        <w:bidi w:val="0"/>
        <w:spacing w:before="0" w:after="240"/>
        <w:jc w:val="center"/>
        <w:rPr>
          <w:rFonts w:ascii="Arial" w:hAnsi="Arial"/>
          <w:b/>
          <w:caps/>
          <w:color w:val="000000"/>
          <w:sz w:val="20"/>
        </w:rPr>
      </w:pPr>
      <w:r>
        <w:rPr>
          <w:rFonts w:ascii="Arial" w:hAnsi="Arial"/>
          <w:b/>
          <w:caps/>
          <w:color w:val="000000"/>
          <w:sz w:val="20"/>
        </w:rPr>
        <w:t>Article XVI</w:t>
      </w:r>
    </w:p>
    <w:p>
      <w:pPr>
        <w:pStyle w:val="TextBody"/>
        <w:bidi w:val="0"/>
        <w:spacing w:before="0" w:after="240"/>
        <w:jc w:val="center"/>
        <w:rPr/>
      </w:pPr>
      <w:r>
        <w:rPr>
          <w:rFonts w:ascii="Arial" w:hAnsi="Arial"/>
          <w:b/>
          <w:caps/>
          <w:color w:val="000000"/>
          <w:sz w:val="20"/>
        </w:rPr>
        <w:br/>
        <w:br/>
      </w:r>
      <w:r>
        <w:rPr>
          <w:rFonts w:ascii="Arial" w:hAnsi="Arial"/>
          <w:b/>
          <w:color w:val="000000"/>
          <w:sz w:val="20"/>
        </w:rPr>
        <w:t>ACQUISITION OF CONTROLLING INTEREST STATUTES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spacing w:before="0" w:after="240"/>
        <w:jc w:val="both"/>
        <w:rPr>
          <w:rFonts w:ascii="Arial" w:hAnsi="Arial"/>
          <w:b/>
          <w:color w:val="000000"/>
          <w:sz w:val="20"/>
        </w:rPr>
      </w:pPr>
      <w:r>
        <w:rPr>
          <w:rFonts w:ascii="Arial" w:hAnsi="Arial"/>
          <w:b/>
          <w:color w:val="000000"/>
          <w:sz w:val="20"/>
        </w:rPr>
        <w:t>Section 1.</w:t>
      </w:r>
    </w:p>
    <w:p>
      <w:pPr>
        <w:pStyle w:val="TextBody"/>
        <w:bidi w:val="0"/>
        <w:spacing w:before="0" w:after="240"/>
        <w:jc w:val="both"/>
        <w:rPr>
          <w:rFonts w:ascii="Arial" w:hAnsi="Arial"/>
          <w:color w:val="000000"/>
          <w:sz w:val="20"/>
        </w:rPr>
      </w:pPr>
      <w:r>
        <w:rPr>
          <w:rFonts w:ascii="Arial" w:hAnsi="Arial"/>
          <w:color w:val="000000"/>
          <w:sz w:val="20"/>
        </w:rPr>
        <w:t>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the corporation or to any acquisition of shares of the corporation’s capital stock.</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7" w:name="tem-ex4_3.htm"/>
      <w:bookmarkStart w:id="28" w:name="kstemex4_3"/>
      <w:bookmarkEnd w:id="27"/>
      <w:bookmarkEnd w:id="28"/>
      <w:r>
        <w:rPr>
          <w:rFonts w:ascii="Times New Roman" w:hAnsi="Times New Roman"/>
          <w:color w:val="000000"/>
          <w:sz w:val="20"/>
        </w:rPr>
        <w:t>Exhibit 4.3</w:t>
      </w:r>
      <w:r>
        <w:br w:type="page"/>
      </w:r>
    </w:p>
    <w:p>
      <w:pPr>
        <w:pStyle w:val="TextBody"/>
        <w:bidi w:val="0"/>
        <w:jc w:val="center"/>
        <w:rPr>
          <w:rFonts w:ascii="Times New Roman" w:hAnsi="Times New Roman"/>
          <w:sz w:val="20"/>
        </w:rPr>
      </w:pPr>
      <w:r>
        <w:rPr>
          <w:rFonts w:ascii="Times New Roman" w:hAnsi="Times New Roman"/>
          <w:b/>
          <w:caps/>
          <w:color w:val="000000"/>
          <w:sz w:val="20"/>
        </w:rPr>
        <w:t>DESCRIPTION OF SECURITIES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REGISTERED PURSUANT TO SECTION 12 OF THE</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0"/>
        </w:rPr>
      </w:pPr>
      <w:r>
        <w:rPr>
          <w:rFonts w:ascii="Times New Roman" w:hAnsi="Times New Roman"/>
          <w:b/>
          <w:caps/>
          <w:color w:val="000000"/>
          <w:sz w:val="20"/>
        </w:rPr>
        <w:t>SECURITIES EXCHANGE ACT OF 1934</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description of the capital stock of Tempus AI, Inc. (the “Company,” “we” or “our”), and certain provisions of the Company’s articles of incorporation and amended and restated bylaws (the “bylaws”), are summaries. These summaries are qualified in their entirety by reference to Nevada law and the complete text of the articles of incorporation and restated bylaws, which are incorporated by reference as Exhibits 3.1 and 3.2, respectively, of the Company’s Quarterly Report on Form 10-Q to which this description is also an exhibit.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our articles of incorporation, our authorized capital stock consists of 1,025,500,000 shares, all with a par value of $0.0001 per share, of which:</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1,000,000,000 shares are designated Class A common stock;</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5,500,000 shares are designated Class B common stock;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20,000,000 shares are designated preferred stock.</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Class A Common Stock and Class B Common Stock</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Class A common stock is entitled to one vote per share on any matter that is submitted to a vote of our stockholders. Holders of our Class B common stock are entitled to 30 votes per share on any matter submitted to our stockholders. Holders of shares of Class B common stock and Class A common stock vote together as a single class on all matters (including the election of directors) submitted to a vote of stockholders, unless otherwise required by Nevada law or our articles of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Nevada law, holders of our Class A common stock or Class B common stock would be entitled to vote as a separate class if a proposed amendment to our articles of incorporation would adversely alter or change any preference or any relative or other right given to such class. While our articles of incorporation provide that the holders of our Class A common stock do not have the right to vote as a separate class as to amendments to our articles of incorporation that would increase or decrease the aggregate number of authorized shares of Class A common stock, they are entitled to the other class protections provided under Nevada law. As a result, in these limited instances, the holders of a majority of the Class A common stock could defeat any amendment to our articles of incorporation. For example, if a proposed amendment of our articles of incorporation provided for the Class A common stock to rank junior to the Class B common stock with respect to (1) any dividend or other distribution, (2) the distribution of proceeds were we to be acquired or (3) any other right, Nevada law would require the vote of the Class A common stock. In this instance, the holders of a majority of Class A common stock could defeat that amendment to our articles of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articles of incorporation do not provide for cumulative voting for the election of directors.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Economic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Except as otherwise expressly provided in our articles of incorporation or otherwise required by applicable law, all shares of Class A common stock and Class B common stock have the same rights and privileges and rank equally, share ratably and be identical in all respects for all matters, including those described below.</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Dividends and 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preferences that may apply to any shares of preferred stock outstanding at the time, the holders of Class A common stock and Class B common stock are entitled to share equally, identically, and ratably, on a per share basis,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4.3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Liquidation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our liquidation, dissolution, or winding-up, the holders of Class A common stock and Class B common stock are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Change of Control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holders of Class A common stock and Class B common stock are treated equally and identically with respect 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in each case, in which cash or other property is, pursuant to the express terms of such transaction, to be distributed to the stockholders in respect of their shares of our capital stock.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Subdivisions and Combinations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subdivide or combine in any manner outstanding shares of Class A common stock or Class B common stock, the outstanding shares of the other classes will be subdivided or combined in the same manner.</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No Preemptive or Similar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Class A common stock and Class B common stock are not entitled to preemptive rights, and are not subject to conversion, redemption or sinking fund provisions, except for the conversion provisions with respect to the Class B common stock described below.</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detailed below and further described in our articles of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holder’s shares of Class B common stock will convert automatically into Class A common stock, on a one-to-one basis, upon certain circumstances, including: (1) the sale or transfer of such shares of Class B common stock, other than to any person or entity which, directly or directly, is controlled by, or is under common control with, the holder of such shares of Class B common stock making such transfer; (2) the trading day that is no less than 90 days and no more than 150 days following June 17, 2044; (3) the date on which Mr. Lefkofsky is no longer providing services to us as an executive officer or member of our board of directors; and (4) the trading day that is no less than 90 days and no more than 150 days following the date that Mr. Lefkofsky and his controlled entities hold, in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4.3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aggregate, fewer than 10,000,000 shares of our capital stock (as adjusted for stock splits, stock dividends, combinations, subdivisions and recapitalizations).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shares of the Class B common stock that have been converted or are otherwise acquired by us may not be reissued.</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our articles of incorporation,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or other distribution payments and payments on liquidation. In addition, the issuance of preferred stock could have the effect of delaying, deferring, or preventing a change of control or other corporate action. We have no present plan to issue any shares of preferred stock.</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Stockholder Registration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April 2024. The registration of shares of our Class A common stock (including shares of Class A common stock issuable upon conversion of Class B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date of our initial public offering (the “IPO Date”), or with respect to any particular stockholder, such time after the IPO Date that such stockholder (a) holds less than 1% of our outstanding common stock (including shares issuable on conversion of outstanding convertible preferred stock) and (b) can sell all of its shares under Rule 144 of the Securities Act (“Rule 144”) during any 90-day period.</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Demand Registration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holders of the registerable securities are entitled to certain demand registration rights. At any time after December 13, 2024,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Piggyback Registration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the event that we propose to, subject to limited exceptions, register any of our securities under the Securities Act, either for our own account or for the account of other security holders, the holders of these shares are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4.3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shares are entitled to notice of the registration and have the right to include their shares in the registration, subject to limitations that the underwriters may impose on the number of shares included in the offering.</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Form S-3 Registration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holders of an aggregate of at least 20% of the then outstanding shares of Class A common stock and Class B common stock are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Anti-Takeover Provisions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Articles of Incorporation and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our stockholders do not have cumulative voting rights, stockholders holding a majority of the voting power of our shares of common stock are able to elect all of our directors. Our articles of incorporation and bylaws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bylaws establish an advance notice procedure for stockholder proposals to be brought before an annual meeting of our stockholders, including proposed nominations of persons for election to our board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articles of incorporation further provide for a dual-class common stock structure, which provides Eric Lefkofsky, our Chief Executive Officer, Founder, and Chairman, who beneficially owns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articles of incorporation or bylaws in a manner that modifies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or other distribution under certain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provisions, including the dual-class structure of our common stock, are intended to preserve our existing control structure,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4.3</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Nevada “Combinations with Interested Stockholders” Statutes</w:t>
      </w:r>
    </w:p>
    <w:p>
      <w:pPr>
        <w:pStyle w:val="TextBody"/>
        <w:bidi w:val="0"/>
        <w:spacing w:before="0" w:after="240"/>
        <w:jc w:val="both"/>
        <w:rPr>
          <w:rFonts w:ascii="Times New Roman" w:hAnsi="Times New Roman"/>
          <w:sz w:val="20"/>
        </w:rPr>
      </w:pPr>
      <w:r>
        <w:rPr>
          <w:rFonts w:ascii="Times New Roman" w:hAnsi="Times New Roman"/>
          <w:color w:val="212529"/>
          <w:sz w:val="20"/>
        </w:rPr>
        <w:t xml:space="preserve">Nevada’s “combinations with interested stockholders” statutes (Nevada Revised Statutes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in advance, either the combination or the transaction by which such person becomes an “interested stockholder,”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 outstanding shares of the corporation. The definition of the term “combination” is sufficiently broad to cover most significant transactions between a corporation and an “interested stockholder.” These statutes generally apply to </w:t>
      </w:r>
      <w:r>
        <w:rPr>
          <w:rFonts w:ascii="Times New Roman" w:hAnsi="Times New Roman"/>
          <w:color w:val="000000"/>
          <w:sz w:val="20"/>
        </w:rPr>
        <w:t>Nevada</w:t>
      </w:r>
      <w:r>
        <w:rPr>
          <w:rFonts w:ascii="Times New Roman" w:hAnsi="Times New Roman"/>
          <w:color w:val="212529"/>
          <w:sz w:val="20"/>
        </w:rPr>
        <w:t xml:space="preserve"> corporations with 200 or more stockholders of record. However, a Nevada corporation may elect in its articles of incorporation not to be governed by these particular laws, but if such election is not made in the corporation’s original articles of incorporation or in an amendment effective prior to the company having 200 or more stockholders of record, then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We have not made an election to opt out of these statutes in our articles of incorporation, and so these statutes could apply to us in the event we have 200 or more stockholders of record.</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Choice of Forum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articles of incorporation provide that the Eighth Judicial District Court of the State of Nevada be the exclusive forum for actions or proceedings brought under Nevada statutory or common law: (1) any derivative action or proceeding brought on our behalf; (2) any action or proceeding asserting a claim of breach of a fiduciary duty owed to us or our stockholders by any of our current or former directors, officers or other employees, or any of our stockholders; (3) any action or proceeding asserting a claim against us or any of our current or former directors, officers or other employees, or any of our stockholders, arising pursuant to any provision of the Nevada Revised Statutes, our articles of incorporation or bylaws, as each may be amended from time to time; (4) any action or proceeding to interpret, apply, enforce or determine the validity of our articles of incorporation or bylaws, including any right, obligation or remedy thereunder; (5) any internal action (as defined in NRS 78.046) and any action or proceeding as to which jurisdiction of the District Courts of the State of Nevada is conferred by Title 7 of the Nevada Revised Statutes; and (6) any action asserting a claim against us or any of our directors, officers or other employees, or any of our stockholders, governed by the internal affairs doctrine, in all cases to the fullest extent permitted by law and subject to the court’s having personal jurisdiction over the indispensable parties named as defendants. The provisions would not apply to suits brought to enforce a duty or liability created by the Exchange Act. Our articles of incorporation further provide that the federal district courts of the United States of America are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Exchange Listing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Class A common stock is currently listed on the Nasdaq Global Select Market under the symbol “TEM.”</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Transfer Agent and Registrar</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4.3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transfer agent and registrar for our Class A common stock and Class B common stock is Equiniti Trust Company, LLC (formerly known as American Stock Transfer &amp; Trust Company, LLC). The transfer agent’s address is 55 Challenger Road, Ridgefield Park, New Jersey 07660.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tem-ex4_4.htm"/>
      <w:bookmarkStart w:id="30" w:name="kstemex4_4"/>
      <w:bookmarkEnd w:id="29"/>
      <w:bookmarkEnd w:id="30"/>
      <w:r>
        <w:rPr>
          <w:rFonts w:ascii="Times New Roman" w:hAnsi="Times New Roman"/>
          <w:b/>
          <w:color w:val="000000"/>
          <w:sz w:val="20"/>
        </w:rPr>
        <w:t>Exhibit 4.4</w:t>
      </w:r>
      <w:r>
        <w:br w:type="page"/>
      </w:r>
    </w:p>
    <w:p>
      <w:pPr>
        <w:pStyle w:val="TextBody"/>
        <w:bidi w:val="0"/>
        <w:jc w:val="left"/>
        <w:rPr/>
      </w:pPr>
      <w:r>
        <w:rPr/>
        <w:t> </w:t>
      </w:r>
    </w:p>
    <w:p>
      <w:pPr>
        <w:pStyle w:val="TextBody"/>
        <w:bidi w:val="0"/>
        <w:jc w:val="center"/>
        <w:rPr/>
      </w:pPr>
      <w:r>
        <w:rPr/>
        <w:drawing>
          <wp:inline distT="0" distB="0" distL="0" distR="0">
            <wp:extent cx="9144000" cy="5953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9144000" cy="59531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TEMPUS NUMBER INCORPORATED UNDER THE LAWS OF THE STATE OF NEVADA SHARES CUSIP 88023B 10 3 SEE REVERSE FOR CERTAIN DEFINITIONS AND LEGENDS This certifies that is the record holder of FULLY PAID AND NONASSESSABLE SHARES OF COMMON STOCK, $0.0001 PAR VALUE PER SHARE, OF Tempus AI, Inc. transferable on the books of the Corporation in person or by duly authorized attorney upon surrender of this Certificate properly endorsed. This Certificate is not valid until countersigned by the Transfer Agent and registered by the Registrar WITNESS the facsimile seal of the Corporation and the facsimile signatures of its duly authorized officers. Dated: CHIEF EXECUTIVE OFFICER FOUNDER AND CHAIRMAN TEMPUS AI, INC CORPORATE SEAL AUGUST 7, 2025 NEVADA CHIEF FINANCIAL OFFICER COUNTERSIGNED AND REGISTERED: EQUINITI TRUST COMPANY, LLC RANSFER AGENT AND REGISTRAR BY: AUTHORIZED SIGNATURE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abbreviations, when used in the inscription on the face of this certificate, shall be construed as though they were written out in full according to applicable laws or regulations:</w:t>
      </w:r>
    </w:p>
    <w:p>
      <w:pPr>
        <w:pStyle w:val="TextBody"/>
        <w:bidi w:val="0"/>
        <w:jc w:val="left"/>
        <w:rPr/>
      </w:pPr>
      <w:r>
        <w:rPr/>
        <w:t> </w:t>
      </w:r>
    </w:p>
    <w:tbl>
      <w:tblPr>
        <w:tblW w:w="9841" w:type="dxa"/>
        <w:jc w:val="left"/>
        <w:tblInd w:w="0" w:type="dxa"/>
        <w:tblLayout w:type="fixed"/>
        <w:tblCellMar>
          <w:top w:w="28" w:type="dxa"/>
          <w:left w:w="28" w:type="dxa"/>
          <w:bottom w:w="28" w:type="dxa"/>
          <w:right w:w="28" w:type="dxa"/>
        </w:tblCellMar>
      </w:tblPr>
      <w:tblGrid>
        <w:gridCol w:w="1096"/>
        <w:gridCol w:w="286"/>
        <w:gridCol w:w="2641"/>
        <w:gridCol w:w="146"/>
        <w:gridCol w:w="1741"/>
        <w:gridCol w:w="226"/>
        <w:gridCol w:w="2992"/>
        <w:gridCol w:w="309"/>
        <w:gridCol w:w="404"/>
      </w:tblGrid>
      <w:tr>
        <w:trPr/>
        <w:tc>
          <w:tcPr>
            <w:tcW w:w="10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TEN COM</w:t>
            </w:r>
          </w:p>
        </w:tc>
        <w:tc>
          <w:tcPr>
            <w:tcW w:w="2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p>
        </w:tc>
        <w:tc>
          <w:tcPr>
            <w:tcW w:w="26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tenants in 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UNIF GIFT MIN ACT</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Custodian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TEN ENT</w:t>
            </w:r>
          </w:p>
        </w:tc>
        <w:tc>
          <w:tcPr>
            <w:tcW w:w="2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tenants by the entireties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(Cust) (Minor)</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JT TEN</w:t>
            </w:r>
            <w:r>
              <w:rPr>
                <w:rFonts w:ascii="Times New Roman" w:hAnsi="Times New Roman"/>
                <w:color w:val="000000"/>
                <w:sz w:val="18"/>
              </w:rPr>
              <w:t xml:space="preserve"> </w:t>
            </w:r>
          </w:p>
        </w:tc>
        <w:tc>
          <w:tcPr>
            <w:tcW w:w="2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joint tenants with right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3"/>
            <w:vMerge w:val="restart"/>
            <w:tcBorders/>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under Uniform Gifts to Minors</w:t>
            </w:r>
          </w:p>
          <w:p>
            <w:pPr>
              <w:pStyle w:val="TableContents"/>
              <w:bidi w:val="0"/>
              <w:spacing w:before="0" w:after="283"/>
              <w:jc w:val="both"/>
              <w:rPr>
                <w:rFonts w:ascii="Arial" w:hAnsi="Arial"/>
                <w:color w:val="000000"/>
                <w:sz w:val="18"/>
              </w:rPr>
            </w:pPr>
            <w:r>
              <w:rPr>
                <w:rFonts w:ascii="Arial" w:hAnsi="Arial"/>
                <w:color w:val="000000"/>
                <w:sz w:val="18"/>
              </w:rPr>
              <w:t>Act....................................................................</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survivorship and not as tenants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 common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(State)</w:t>
            </w:r>
          </w:p>
        </w:tc>
      </w:tr>
      <w:tr>
        <w:trPr/>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 PROP</w:t>
            </w:r>
          </w:p>
        </w:tc>
        <w:tc>
          <w:tcPr>
            <w:tcW w:w="28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community property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UNIF TRF MIN ACT</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3705"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 Custodian (until age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(Cust)</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...................................under Uniform Transfers</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(Minor)</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to Minors Act.....................................................</w:t>
            </w:r>
          </w:p>
        </w:tc>
      </w:tr>
      <w:tr>
        <w:trPr/>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(State)</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Additional abbreviations may also be used though not in the above list.</w:t>
      </w:r>
    </w:p>
    <w:p>
      <w:pPr>
        <w:pStyle w:val="TextBody"/>
        <w:bidi w:val="0"/>
        <w:jc w:val="center"/>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FOR VALUE RECEIVED, __________________________________ hereby sell(s), assign(s) and transfer(s) unto</w:t>
      </w:r>
    </w:p>
    <w:p>
      <w:pPr>
        <w:pStyle w:val="TextBody"/>
        <w:bidi w:val="0"/>
        <w:jc w:val="left"/>
        <w:rPr/>
      </w:pPr>
      <w:r>
        <w:rPr/>
        <w:t> </w:t>
      </w:r>
    </w:p>
    <w:p>
      <w:pPr>
        <w:pStyle w:val="TextBody"/>
        <w:bidi w:val="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120"/>
              <w:jc w:val="center"/>
              <w:rPr>
                <w:rFonts w:ascii="Arial" w:hAnsi="Arial"/>
                <w:color w:val="000000"/>
                <w:sz w:val="16"/>
              </w:rPr>
            </w:pPr>
            <w:r>
              <w:rPr>
                <w:rFonts w:ascii="Arial" w:hAnsi="Arial"/>
                <w:color w:val="000000"/>
                <w:sz w:val="16"/>
              </w:rPr>
              <w:t>PLEASE INSERT SOCIAL SECURITY OR OTHER</w:t>
              <w:br/>
              <w:t>IDENTIFYING NUMBER OF ASSIGNEE</w:t>
            </w:r>
          </w:p>
        </w:tc>
      </w:tr>
      <w:tr>
        <w:trPr/>
        <w:tc>
          <w:tcPr>
            <w:tcW w:w="3871"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61" w:type="dxa"/>
        <w:jc w:val="left"/>
        <w:tblInd w:w="0" w:type="dxa"/>
        <w:tblLayout w:type="fixed"/>
        <w:tblCellMar>
          <w:top w:w="28" w:type="dxa"/>
          <w:left w:w="28" w:type="dxa"/>
          <w:bottom w:w="28" w:type="dxa"/>
          <w:right w:w="28" w:type="dxa"/>
        </w:tblCellMar>
      </w:tblPr>
      <w:tblGrid>
        <w:gridCol w:w="10261"/>
      </w:tblGrid>
      <w:tr>
        <w:trPr/>
        <w:tc>
          <w:tcPr>
            <w:tcW w:w="10261" w:type="dxa"/>
            <w:tcBorders/>
            <w:vAlign w:val="center"/>
          </w:tcPr>
          <w:p>
            <w:pPr>
              <w:pStyle w:val="TableContents"/>
              <w:bidi w:val="0"/>
              <w:spacing w:before="0" w:after="283"/>
              <w:jc w:val="left"/>
              <w:rPr>
                <w:sz w:val="4"/>
                <w:szCs w:val="4"/>
              </w:rPr>
            </w:pPr>
            <w:r>
              <w:rPr>
                <w:sz w:val="4"/>
                <w:szCs w:val="4"/>
              </w:rPr>
            </w:r>
          </w:p>
        </w:tc>
      </w:tr>
      <w:tr>
        <w:trPr/>
        <w:tc>
          <w:tcPr>
            <w:tcW w:w="10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(PLEASE PRINT OR TYPEWRITE NAME AND ADDRESS, INCLUDING ZIP CODE, OF ASSIGNEE)</w:t>
            </w:r>
          </w:p>
        </w:tc>
      </w:tr>
      <w:tr>
        <w:trPr/>
        <w:tc>
          <w:tcPr>
            <w:tcW w:w="10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6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__________________________________________________________________________________________ shares of the capital stock represented by within Certificate, and do hereby irrevocably constitute and appoint</w:t>
            </w:r>
          </w:p>
        </w:tc>
      </w:tr>
    </w:tbl>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____________________________________________________________________________________ attorney-in-fact to transfer the said stock on the books of the within named Corporation with full power of the substitution in the premises.</w:t>
      </w:r>
    </w:p>
    <w:p>
      <w:pPr>
        <w:pStyle w:val="TextBody"/>
        <w:bidi w:val="0"/>
        <w:jc w:val="left"/>
        <w:rPr/>
      </w:pPr>
      <w:r>
        <w:rPr/>
        <w:t> </w:t>
      </w:r>
    </w:p>
    <w:p>
      <w:pPr>
        <w:pStyle w:val="TextBody"/>
        <w:bidi w:val="0"/>
        <w:jc w:val="left"/>
        <w:rPr/>
      </w:pPr>
      <w:r>
        <w:rPr/>
        <w:t> </w:t>
      </w:r>
    </w:p>
    <w:tbl>
      <w:tblPr>
        <w:tblW w:w="822" w:type="dxa"/>
        <w:jc w:val="left"/>
        <w:tblInd w:w="0" w:type="dxa"/>
        <w:tblLayout w:type="fixed"/>
        <w:tblCellMar>
          <w:top w:w="28" w:type="dxa"/>
          <w:left w:w="28" w:type="dxa"/>
          <w:bottom w:w="28" w:type="dxa"/>
          <w:right w:w="28" w:type="dxa"/>
        </w:tblCellMar>
      </w:tblPr>
      <w:tblGrid>
        <w:gridCol w:w="631"/>
        <w:gridCol w:w="191"/>
      </w:tblGrid>
      <w:tr>
        <w:trPr/>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7"/>
        <w:gridCol w:w="391"/>
        <w:gridCol w:w="752"/>
        <w:gridCol w:w="7595"/>
      </w:tblGrid>
      <w:tr>
        <w:trPr/>
        <w:tc>
          <w:tcPr>
            <w:tcW w:w="14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5" w:type="dxa"/>
            <w:tcBorders/>
            <w:vAlign w:val="center"/>
          </w:tcPr>
          <w:p>
            <w:pPr>
              <w:pStyle w:val="TableContents"/>
              <w:bidi w:val="0"/>
              <w:spacing w:before="0" w:after="283"/>
              <w:jc w:val="left"/>
              <w:rPr>
                <w:sz w:val="4"/>
                <w:szCs w:val="4"/>
              </w:rPr>
            </w:pPr>
            <w:r>
              <w:rPr>
                <w:sz w:val="4"/>
                <w:szCs w:val="4"/>
              </w:rPr>
            </w:r>
          </w:p>
        </w:tc>
      </w:tr>
      <w:tr>
        <w:trPr/>
        <w:tc>
          <w:tcPr>
            <w:tcW w:w="146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44"/>
              </w:rPr>
            </w:pPr>
            <w:r>
              <w:rPr>
                <w:rFonts w:ascii="Arial" w:hAnsi="Arial"/>
                <w:color w:val="000000"/>
                <w:sz w:val="44"/>
              </w:rPr>
              <w:t>X</w:t>
            </w:r>
          </w:p>
        </w:tc>
        <w:tc>
          <w:tcPr>
            <w:tcW w:w="834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6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44"/>
              </w:rPr>
            </w:pPr>
            <w:r>
              <w:rPr>
                <w:rFonts w:ascii="Arial" w:hAnsi="Arial"/>
                <w:color w:val="000000"/>
                <w:sz w:val="44"/>
              </w:rPr>
              <w:t>X</w:t>
            </w:r>
          </w:p>
        </w:tc>
        <w:tc>
          <w:tcPr>
            <w:tcW w:w="834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Signature(s) Guaranteed:</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80" w:after="283"/>
              <w:jc w:val="left"/>
              <w:rPr>
                <w:rFonts w:ascii="Arial" w:hAnsi="Arial"/>
                <w:color w:val="000000"/>
                <w:sz w:val="16"/>
              </w:rPr>
            </w:pPr>
            <w:r>
              <w:rPr>
                <w:rFonts w:ascii="Arial" w:hAnsi="Arial"/>
                <w:color w:val="000000"/>
                <w:sz w:val="16"/>
              </w:rPr>
              <w:t>NOTICE:</w:t>
            </w:r>
          </w:p>
        </w:tc>
        <w:tc>
          <w:tcPr>
            <w:tcW w:w="7595" w:type="dxa"/>
            <w:tcBorders/>
            <w:tcMar>
              <w:top w:w="0" w:type="dxa"/>
              <w:left w:w="0" w:type="dxa"/>
              <w:bottom w:w="0" w:type="dxa"/>
              <w:right w:w="0" w:type="dxa"/>
            </w:tcMar>
            <w:vAlign w:val="center"/>
          </w:tcPr>
          <w:p>
            <w:pPr>
              <w:pStyle w:val="TableContents"/>
              <w:bidi w:val="0"/>
              <w:spacing w:before="80" w:after="283"/>
              <w:jc w:val="both"/>
              <w:rPr>
                <w:rFonts w:ascii="Arial" w:hAnsi="Arial"/>
                <w:color w:val="000000"/>
                <w:sz w:val="16"/>
              </w:rPr>
            </w:pPr>
            <w:r>
              <w:rPr>
                <w:rFonts w:ascii="Arial" w:hAnsi="Arial"/>
                <w:color w:val="000000"/>
                <w:sz w:val="16"/>
              </w:rPr>
              <w:t>THE SIGNATURE TO THIS ASSIGNMENT MUST CORRESPOND WITH THE NAME AS WRITTEN UPON THE FACE OF THE CERTIFICATE IN EVERY PARTICULAR, WITHOUT ALTERATION OR ENLARGEMENT OR ANY CHANGE WHATSOEVER.</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233"/>
        <w:gridCol w:w="2972"/>
      </w:tblGrid>
      <w:tr>
        <w:trPr/>
        <w:tc>
          <w:tcPr>
            <w:tcW w:w="7233"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723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8"/>
              </w:rPr>
            </w:pPr>
            <w:r>
              <w:rPr>
                <w:rFonts w:ascii="Arial" w:hAnsi="Arial"/>
                <w:color w:val="000000"/>
                <w:sz w:val="28"/>
              </w:rPr>
              <w:t>By</w:t>
            </w:r>
          </w:p>
        </w:tc>
        <w:tc>
          <w:tcPr>
            <w:tcW w:w="29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120" w:after="283"/>
              <w:jc w:val="both"/>
              <w:rPr>
                <w:rFonts w:ascii="Arial" w:hAnsi="Arial"/>
                <w:color w:val="000000"/>
                <w:sz w:val="14"/>
              </w:rPr>
            </w:pPr>
            <w:r>
              <w:rPr>
                <w:rFonts w:ascii="Arial" w:hAnsi="Arial"/>
                <w:color w:val="000000"/>
                <w:sz w:val="14"/>
              </w:rPr>
              <w:t>THE SIGNATURE(S) SHOULD BE GUARANTEED BY AN ELIGIBLE GUARANTOR INSTITUTION, (BANKS, STOCKBROKERS, SAVINGS AND LOAN ASSOCIATIONS AND CREDIT UNIONS WITH MEMBERSHIP IN AN APPROVED SIGNATURE GUARANTEE MEDALLION PROGRAM), PURSUANT TO S.E.C. RULE 17Ad-15. GUARANTEES BY A NOTARY PUBLIC ARE NOT ACCEPTABLE. SIGNATURE GUARANTEES MUST NOT BE DATED.</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1" w:name="tem-ex4_5.htm"/>
      <w:bookmarkStart w:id="32" w:name="kstemex4_5"/>
      <w:bookmarkEnd w:id="31"/>
      <w:bookmarkEnd w:id="32"/>
      <w:r>
        <w:rPr>
          <w:rFonts w:ascii="Times New Roman" w:hAnsi="Times New Roman"/>
          <w:color w:val="000000"/>
          <w:sz w:val="24"/>
        </w:rPr>
        <w:t>Exhibit 4.5</w:t>
      </w:r>
      <w:r>
        <w:br w:type="page"/>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TEMPUS AI, INC.</w:t>
      </w:r>
    </w:p>
    <w:p>
      <w:pPr>
        <w:pStyle w:val="TextBody"/>
        <w:bidi w:val="0"/>
        <w:spacing w:before="0" w:after="240"/>
        <w:jc w:val="center"/>
        <w:rPr>
          <w:rFonts w:ascii="Times New Roman" w:hAnsi="Times New Roman"/>
          <w:sz w:val="20"/>
        </w:rPr>
      </w:pPr>
      <w:r>
        <w:rPr>
          <w:rFonts w:ascii="Times New Roman" w:hAnsi="Times New Roman"/>
          <w:color w:val="000000"/>
          <w:sz w:val="22"/>
        </w:rPr>
        <w:t>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U.S. BANK TRUST COMPANY, NATIONAL ASSOCIATION</w:t>
      </w:r>
      <w:r>
        <w:rPr>
          <w:rFonts w:ascii="Times New Roman" w:hAnsi="Times New Roman"/>
          <w:color w:val="000000"/>
          <w:sz w:val="20"/>
        </w:rPr>
        <w:t xml:space="preserve"> </w:t>
      </w:r>
    </w:p>
    <w:p>
      <w:pPr>
        <w:pStyle w:val="TextBody"/>
        <w:bidi w:val="0"/>
        <w:spacing w:before="0" w:after="240"/>
        <w:jc w:val="center"/>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2"/>
        </w:rPr>
        <w:t>as Trustee</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FIRST SUPPLEMENTAL INDENTURE</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Dated as of August 7, 2025</w:t>
      </w:r>
    </w:p>
    <w:p>
      <w:pPr>
        <w:pStyle w:val="TextBody"/>
        <w:bidi w:val="0"/>
        <w:jc w:val="center"/>
        <w:rPr>
          <w:rFonts w:ascii="Times New Roman" w:hAnsi="Times New Roman"/>
          <w:color w:val="000000"/>
          <w:sz w:val="22"/>
        </w:rPr>
      </w:pPr>
      <w:r>
        <w:rPr>
          <w:rFonts w:ascii="Times New Roman" w:hAnsi="Times New Roman"/>
          <w:color w:val="000000"/>
          <w:sz w:val="22"/>
        </w:rPr>
        <w:t>0.75% Convertible Senior Notes due 2030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2"/>
        </w:rPr>
        <w:t>FIRST SUPPLEMENTAL INDENTURE, dated as of August 7, 2025 (this “</w:t>
      </w:r>
      <w:r>
        <w:rPr>
          <w:rFonts w:ascii="Times New Roman" w:hAnsi="Times New Roman"/>
          <w:b/>
          <w:color w:val="000000"/>
          <w:sz w:val="22"/>
        </w:rPr>
        <w:t>Supplemental Indenture</w:t>
      </w:r>
      <w:r>
        <w:rPr>
          <w:rFonts w:ascii="Times New Roman" w:hAnsi="Times New Roman"/>
          <w:color w:val="000000"/>
          <w:sz w:val="20"/>
        </w:rPr>
        <w:t>”</w:t>
      </w:r>
      <w:r>
        <w:rPr>
          <w:rFonts w:ascii="Times New Roman" w:hAnsi="Times New Roman"/>
          <w:color w:val="000000"/>
          <w:sz w:val="22"/>
        </w:rPr>
        <w:t>), by and between Tempus AI,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as issuer, and U.S. Bank Trust Company, National Association, a national banking association organized under the laws of the United States of America, as trustee (the “</w:t>
      </w:r>
      <w:r>
        <w:rPr>
          <w:rFonts w:ascii="Times New Roman" w:hAnsi="Times New Roman"/>
          <w:b/>
          <w:color w:val="000000"/>
          <w:sz w:val="22"/>
        </w:rPr>
        <w:t>Trustee</w:t>
      </w:r>
      <w:r>
        <w:rPr>
          <w:rFonts w:ascii="Times New Roman" w:hAnsi="Times New Roman"/>
          <w:color w:val="000000"/>
          <w:sz w:val="20"/>
        </w:rPr>
        <w:t>”</w:t>
      </w:r>
      <w:r>
        <w:rPr>
          <w:rFonts w:ascii="Times New Roman" w:hAnsi="Times New Roman"/>
          <w:color w:val="000000"/>
          <w:sz w:val="22"/>
        </w:rPr>
        <w:t>), to the Indenture, dated as of July 3, 2025 (as the same may be further supplemented or otherwise modified prior to the date hereof, the “</w:t>
      </w:r>
      <w:r>
        <w:rPr>
          <w:rFonts w:ascii="Times New Roman" w:hAnsi="Times New Roman"/>
          <w:b/>
          <w:color w:val="000000"/>
          <w:sz w:val="22"/>
        </w:rPr>
        <w:t>Indenture</w:t>
      </w:r>
      <w:r>
        <w:rPr>
          <w:rFonts w:ascii="Times New Roman" w:hAnsi="Times New Roman"/>
          <w:color w:val="000000"/>
          <w:sz w:val="20"/>
        </w:rPr>
        <w:t>”</w:t>
      </w:r>
      <w:r>
        <w:rPr>
          <w:rFonts w:ascii="Times New Roman" w:hAnsi="Times New Roman"/>
          <w:color w:val="000000"/>
          <w:sz w:val="22"/>
        </w:rPr>
        <w:t>), between the Company and the Trustee.</w:t>
      </w:r>
    </w:p>
    <w:p>
      <w:pPr>
        <w:pStyle w:val="TextBody"/>
        <w:bidi w:val="0"/>
        <w:spacing w:before="0" w:after="240"/>
        <w:jc w:val="left"/>
        <w:rPr>
          <w:rFonts w:ascii="Times New Roman" w:hAnsi="Times New Roman"/>
          <w:sz w:val="20"/>
        </w:rPr>
      </w:pPr>
      <w:r>
        <w:rPr>
          <w:rFonts w:ascii="Times New Roman" w:hAnsi="Times New Roman"/>
          <w:color w:val="000000"/>
          <w:sz w:val="22"/>
        </w:rPr>
        <w:t>WHEREAS, the Company has heretofore executed and delivered the Indenture, pursuant to which the Company issued its 0.75% Convertible Senior Notes due 2030 (the “</w:t>
      </w:r>
      <w:r>
        <w:rPr>
          <w:rFonts w:ascii="Times New Roman" w:hAnsi="Times New Roman"/>
          <w:b/>
          <w:color w:val="000000"/>
          <w:sz w:val="22"/>
        </w:rPr>
        <w:t>Notes</w:t>
      </w:r>
      <w:r>
        <w:rPr>
          <w:rFonts w:ascii="Times New Roman" w:hAnsi="Times New Roman"/>
          <w:color w:val="000000"/>
          <w:sz w:val="20"/>
        </w:rPr>
        <w:t>”</w:t>
      </w:r>
      <w:r>
        <w:rPr>
          <w:rFonts w:ascii="Times New Roman" w:hAnsi="Times New Roman"/>
          <w:color w:val="000000"/>
          <w:sz w:val="22"/>
        </w:rPr>
        <w:t>) in the original aggregate principal amount of $750,000,000;</w:t>
      </w:r>
    </w:p>
    <w:p>
      <w:pPr>
        <w:pStyle w:val="TextBody"/>
        <w:bidi w:val="0"/>
        <w:spacing w:before="0" w:after="240"/>
        <w:jc w:val="left"/>
        <w:rPr>
          <w:rFonts w:ascii="Times New Roman" w:hAnsi="Times New Roman"/>
          <w:sz w:val="20"/>
        </w:rPr>
      </w:pPr>
      <w:r>
        <w:rPr>
          <w:rFonts w:ascii="Times New Roman" w:hAnsi="Times New Roman"/>
          <w:color w:val="000000"/>
          <w:sz w:val="22"/>
        </w:rPr>
        <w:t>WHEREAS, at 11:59 p.m. Eastern Time on August 7, 2025, the Company shall convert from a corporation organized under the laws of the State of Delaware into a corporation organized under the laws of the State of Nevada (the “</w:t>
      </w:r>
      <w:r>
        <w:rPr>
          <w:rFonts w:ascii="Times New Roman" w:hAnsi="Times New Roman"/>
          <w:b/>
          <w:color w:val="000000"/>
          <w:sz w:val="22"/>
        </w:rPr>
        <w:t>Nevada Corporation</w:t>
      </w:r>
      <w:r>
        <w:rPr>
          <w:rFonts w:ascii="Times New Roman" w:hAnsi="Times New Roman"/>
          <w:color w:val="000000"/>
          <w:sz w:val="20"/>
        </w:rPr>
        <w:t xml:space="preserve">” </w:t>
      </w:r>
      <w:r>
        <w:rPr>
          <w:rFonts w:ascii="Times New Roman" w:hAnsi="Times New Roman"/>
          <w:color w:val="000000"/>
          <w:sz w:val="22"/>
        </w:rPr>
        <w:t>and such transaction, the “</w:t>
      </w:r>
      <w:r>
        <w:rPr>
          <w:rFonts w:ascii="Times New Roman" w:hAnsi="Times New Roman"/>
          <w:b/>
          <w:color w:val="000000"/>
          <w:sz w:val="22"/>
        </w:rPr>
        <w:t>Reincorporation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WHEREAS, pursuant to the Reincorporation, each share of Class A Common Stock (as defined in the Indenture) of the Company will convert into one share of Class A common stock, par value $0.0001 per share, of the Nevada Corporation (the “</w:t>
      </w:r>
      <w:r>
        <w:rPr>
          <w:rFonts w:ascii="Times New Roman" w:hAnsi="Times New Roman"/>
          <w:b/>
          <w:color w:val="000000"/>
          <w:sz w:val="22"/>
        </w:rPr>
        <w:t>Nevada Corporation Common Stock</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WHEREAS, the Reincorporation will constitute a Share Exchange Event pursuant to Section 14.07(a) of the Indenture;</w:t>
      </w:r>
    </w:p>
    <w:p>
      <w:pPr>
        <w:pStyle w:val="TextBody"/>
        <w:bidi w:val="0"/>
        <w:jc w:val="left"/>
        <w:rPr>
          <w:rFonts w:ascii="Times New Roman" w:hAnsi="Times New Roman"/>
          <w:sz w:val="20"/>
        </w:rPr>
      </w:pPr>
      <w:r>
        <w:rPr>
          <w:rFonts w:ascii="Times New Roman" w:hAnsi="Times New Roman"/>
          <w:color w:val="000000"/>
          <w:sz w:val="22"/>
        </w:rPr>
        <w:t>WHEREAS, Section 14.07(a) of the Indenture provides, among other things, that in the event of a Share Exchange Event, the Company will execute with the Trustee a supplemental indenture providing that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Class A Common Stock equal to the Conversion Rate immediately prior to such Share Exchange Event would have owned or been entitled to receive (the “</w:t>
      </w:r>
      <w:r>
        <w:rPr>
          <w:rFonts w:ascii="Times New Roman" w:hAnsi="Times New Roman"/>
          <w:b/>
          <w:color w:val="000000"/>
          <w:sz w:val="22"/>
        </w:rPr>
        <w:t>Reference Property</w:t>
      </w:r>
      <w:r>
        <w:rPr>
          <w:rFonts w:ascii="Times New Roman" w:hAnsi="Times New Roman"/>
          <w:color w:val="000000"/>
          <w:sz w:val="20"/>
        </w:rPr>
        <w:t>”</w:t>
      </w:r>
      <w:r>
        <w:rPr>
          <w:rFonts w:ascii="Times New Roman" w:hAnsi="Times New Roman"/>
          <w:color w:val="000000"/>
          <w:sz w:val="22"/>
        </w:rPr>
        <w:t>) upon such Share Exchange Event; provided, however,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of the Indenture and (B)(I) any amount payable in cash upon conversion of the Notes in accordance with Section 14.02 of the Indenture shall continue to be payable in cash, (II) any shares of Class A Common Stock that the Company would have been required to deliver upon conversion of the Notes in accordance with Section 14.02 of the Indenture shall instead be deliverable in the amount and type of Reference Property that a holder of that number of shares of Class A Common Stock would have received in such Share Exchange Event and (III) the Daily VWAP shall be calculated based on the value of a unit of Reference Property that a holder of one share of Class A Common Stock would have received in such Share Exchange Event;</w:t>
      </w:r>
    </w:p>
    <w:p>
      <w:pPr>
        <w:pStyle w:val="TextBody"/>
        <w:bidi w:val="0"/>
        <w:spacing w:before="0" w:after="240"/>
        <w:jc w:val="left"/>
        <w:rPr>
          <w:rFonts w:ascii="Times New Roman" w:hAnsi="Times New Roman"/>
          <w:sz w:val="20"/>
        </w:rPr>
      </w:pPr>
      <w:r>
        <w:rPr>
          <w:rFonts w:ascii="Times New Roman" w:hAnsi="Times New Roman"/>
          <w:color w:val="000000"/>
          <w:sz w:val="22"/>
        </w:rPr>
        <w:t>WHEREAS, Section 10.01 of the Indenture provides that the Company and the Trustee may enter into any supplemental indenture without the consent of any Holder, among other things, (i) in connection with any Share Exchange Event, to provide that the Notes are convertible into Reference Property, subject to the provisions of Section 14.02 of the Indenture, and make such related changes to the terms of the Notes to the extent expressly required by Section 14.07 of the Indenture; or (ii) to make any change that does not adversely affect the rights of any Holder;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WHEREAS, in connection with the execution and delivery of this Supplemental Indenture, the Trustee has received an Officer’s Certificate and an Opinion of Counsel as contemplated by Sections 10.05 and 17.05 of the Indenture;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WHEREAS, the Company has requested that the Trustee execute and deliver this Supplemental Indenture and have satisfied all requirements necessary to make this Supplemental Indenture a valid instrument in accordance with its terms.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WITNESSETH: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NOW THEREFORE, in consideration of the foregoing and for other good and valuable consideration, the receipt of which is hereby acknowledged, the Company covenants and agrees with the Trustee as follows for the equal and ratable benefit of the Holders: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ARTICLE 1</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DEFINITIONS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1.01. </w:t>
      </w:r>
      <w:r>
        <w:rPr>
          <w:rFonts w:ascii="Times New Roman" w:hAnsi="Times New Roman"/>
          <w:i/>
          <w:color w:val="000000"/>
          <w:sz w:val="22"/>
        </w:rPr>
        <w:t>Definitions in the Supplemental Indenture</w:t>
      </w:r>
      <w:r>
        <w:rPr>
          <w:rFonts w:ascii="Times New Roman" w:hAnsi="Times New Roman"/>
          <w:color w:val="000000"/>
          <w:sz w:val="22"/>
        </w:rPr>
        <w:t>. Unless otherwise specified herein or the context otherwise requires: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a term defined in the Indenture has the same meaning when used in this Supplemental Indenture unless the definition of such term is amended or supplemented pursuant to this Supplemental Indenture;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 the terms defined in this Article and in this Supplemental Indenture include the plural as well as the singular; and</w:t>
      </w:r>
    </w:p>
    <w:p>
      <w:pPr>
        <w:pStyle w:val="TextBody"/>
        <w:bidi w:val="0"/>
        <w:spacing w:before="0" w:after="240"/>
        <w:jc w:val="left"/>
        <w:rPr>
          <w:rFonts w:ascii="Times New Roman" w:hAnsi="Times New Roman"/>
          <w:sz w:val="20"/>
        </w:rPr>
      </w:pPr>
      <w:r>
        <w:rPr>
          <w:rFonts w:ascii="Times New Roman" w:hAnsi="Times New Roman"/>
          <w:color w:val="000000"/>
          <w:sz w:val="22"/>
        </w:rPr>
        <w:t>(c) unless otherwise stated, a reference to a Section or Article is to a Section or Article of this Supplemental Indenture.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1.02. </w:t>
      </w:r>
      <w:r>
        <w:rPr>
          <w:rFonts w:ascii="Times New Roman" w:hAnsi="Times New Roman"/>
          <w:i/>
          <w:color w:val="000000"/>
          <w:sz w:val="22"/>
        </w:rPr>
        <w:t>Unit of Reference Property</w:t>
      </w:r>
      <w:r>
        <w:rPr>
          <w:rFonts w:ascii="Times New Roman" w:hAnsi="Times New Roman"/>
          <w:color w:val="000000"/>
          <w:sz w:val="22"/>
        </w:rPr>
        <w:t>. “</w:t>
      </w:r>
      <w:r>
        <w:rPr>
          <w:rFonts w:ascii="Times New Roman" w:hAnsi="Times New Roman"/>
          <w:b/>
          <w:color w:val="000000"/>
          <w:sz w:val="22"/>
        </w:rPr>
        <w:t>Unit of Reference Property</w:t>
      </w:r>
      <w:r>
        <w:rPr>
          <w:rFonts w:ascii="Times New Roman" w:hAnsi="Times New Roman"/>
          <w:color w:val="000000"/>
          <w:sz w:val="20"/>
        </w:rPr>
        <w:t xml:space="preserve">” </w:t>
      </w:r>
      <w:r>
        <w:rPr>
          <w:rFonts w:ascii="Times New Roman" w:hAnsi="Times New Roman"/>
          <w:color w:val="000000"/>
          <w:sz w:val="22"/>
        </w:rPr>
        <w:t>shall mean one share of Nevada Corporation Common Stock.</w:t>
      </w:r>
    </w:p>
    <w:p>
      <w:pPr>
        <w:pStyle w:val="TextBody"/>
        <w:bidi w:val="0"/>
        <w:spacing w:before="0" w:after="240"/>
        <w:jc w:val="center"/>
        <w:rPr>
          <w:rFonts w:ascii="Times New Roman" w:hAnsi="Times New Roman"/>
          <w:sz w:val="20"/>
        </w:rPr>
      </w:pPr>
      <w:r>
        <w:rPr>
          <w:rFonts w:ascii="Times New Roman" w:hAnsi="Times New Roman"/>
          <w:color w:val="000000"/>
          <w:sz w:val="22"/>
        </w:rPr>
        <w:t>ARTICLE 2</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EFFECT OF REINCORPORATION</w:t>
      </w:r>
    </w:p>
    <w:p>
      <w:pPr>
        <w:pStyle w:val="TextBody"/>
        <w:bidi w:val="0"/>
        <w:spacing w:before="0" w:after="240"/>
        <w:jc w:val="left"/>
        <w:rPr>
          <w:rFonts w:ascii="Times New Roman" w:hAnsi="Times New Roman"/>
          <w:sz w:val="20"/>
        </w:rPr>
      </w:pPr>
      <w:r>
        <w:rPr>
          <w:rFonts w:ascii="Times New Roman" w:hAnsi="Times New Roman"/>
          <w:color w:val="000000"/>
          <w:sz w:val="22"/>
        </w:rPr>
        <w:t>Section 2.01.      </w:t>
      </w:r>
      <w:r>
        <w:rPr>
          <w:rFonts w:ascii="Times New Roman" w:hAnsi="Times New Roman"/>
          <w:i/>
          <w:color w:val="000000"/>
          <w:sz w:val="22"/>
        </w:rPr>
        <w:t>Conversion of Notes</w:t>
      </w:r>
      <w:r>
        <w:rPr>
          <w:rFonts w:ascii="Times New Roman" w:hAnsi="Times New Roman"/>
          <w:color w:val="000000"/>
          <w:sz w:val="22"/>
        </w:rPr>
        <w:t>. Pursuant to Section 14.07(a) of the Indenture, (a) at and after the effective time of the Reincorporation (the “</w:t>
      </w:r>
      <w:r>
        <w:rPr>
          <w:rFonts w:ascii="Times New Roman" w:hAnsi="Times New Roman"/>
          <w:b/>
          <w:color w:val="000000"/>
          <w:sz w:val="22"/>
        </w:rPr>
        <w:t>Effective Time</w:t>
      </w:r>
      <w:r>
        <w:rPr>
          <w:rFonts w:ascii="Times New Roman" w:hAnsi="Times New Roman"/>
          <w:color w:val="000000"/>
          <w:sz w:val="20"/>
        </w:rPr>
        <w:t>”</w:t>
      </w:r>
      <w:r>
        <w:rPr>
          <w:rFonts w:ascii="Times New Roman" w:hAnsi="Times New Roman"/>
          <w:color w:val="000000"/>
          <w:sz w:val="22"/>
        </w:rPr>
        <w:t xml:space="preserve">), the right to convert each $1,000 principal amount of Notes into the Class A Common Stock shall be changed to a right to convert such principal amount of Notes into the number of Units of Reference Property equal to the Conversion Rate immediately prior to the Effective Time; (b)(i) the Company shall continue to have the right to determine the form of consideration to be paid or delivered, as the case may be, upon conversion of Notes in accordance with Section 14.02 of the Indenture and (c)(i) any amount payable in cash upon conversion of the Notes in accordance with Section 14.02 of the Indenture shall continue to be payable in cash, (ii) any shares of Class A Common Stock that the Company would have been required to deliver upon conversion of the Notes in accordance with Section 14.02 of the Indenture shall instead be deliverable in Units of Reference Property and (iii) the Daily VWAP shall be calculated based on the value of a Unit of Reference Property. The provisions of the Indenture, as modified herein, shall continue to apply, </w:t>
      </w:r>
      <w:r>
        <w:rPr>
          <w:rFonts w:ascii="Times New Roman" w:hAnsi="Times New Roman"/>
          <w:i/>
          <w:color w:val="000000"/>
          <w:sz w:val="22"/>
        </w:rPr>
        <w:t>mutatis mutandis</w:t>
      </w:r>
      <w:r>
        <w:rPr>
          <w:rFonts w:ascii="Times New Roman" w:hAnsi="Times New Roman"/>
          <w:color w:val="000000"/>
          <w:sz w:val="22"/>
        </w:rPr>
        <w:t>, to the Holders’ right to convert the Notes into the Reference Property.</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ARTICLE 3</w:t>
      </w:r>
    </w:p>
    <w:p>
      <w:pPr>
        <w:pStyle w:val="TextBody"/>
        <w:bidi w:val="0"/>
        <w:spacing w:before="0" w:after="240"/>
        <w:jc w:val="center"/>
        <w:rPr>
          <w:rFonts w:ascii="Times New Roman" w:hAnsi="Times New Roman"/>
          <w:sz w:val="20"/>
        </w:rPr>
      </w:pPr>
      <w:r>
        <w:rPr>
          <w:rFonts w:ascii="Times New Roman" w:hAnsi="Times New Roman"/>
          <w:color w:val="000000"/>
          <w:sz w:val="22"/>
        </w:rPr>
        <w:t>MISCELLANEOUS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3.01. </w:t>
      </w:r>
      <w:r>
        <w:rPr>
          <w:rFonts w:ascii="Times New Roman" w:hAnsi="Times New Roman"/>
          <w:i/>
          <w:color w:val="000000"/>
          <w:sz w:val="22"/>
        </w:rPr>
        <w:t>Ratification of Indenture</w:t>
      </w:r>
      <w:r>
        <w:rPr>
          <w:rFonts w:ascii="Times New Roman" w:hAnsi="Times New Roman"/>
          <w:color w:val="000000"/>
          <w:sz w:val="22"/>
        </w:rPr>
        <w:t>. The Indenture, as supplemented by this Supplemental Indenture, is in all respects ratified and confirmed, and this Supplemental Indenture shall be deemed part of the Indenture in the manner and to the extent herein and therein provided. Every holder of Notes heretofore or hereafter authenticated and delivered under the Indenture shall be bound thereby.</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3.02. </w:t>
      </w:r>
      <w:r>
        <w:rPr>
          <w:rFonts w:ascii="Times New Roman" w:hAnsi="Times New Roman"/>
          <w:i/>
          <w:color w:val="000000"/>
          <w:sz w:val="22"/>
        </w:rPr>
        <w:t>Trustee Not Responsible for Recitals</w:t>
      </w:r>
      <w:r>
        <w:rPr>
          <w:rFonts w:ascii="Times New Roman" w:hAnsi="Times New Roman"/>
          <w:color w:val="000000"/>
          <w:sz w:val="22"/>
        </w:rPr>
        <w:t>. The recitals herein contained are made by the Company and not by the Trustee, and the Trustee assumes no responsibility for the correctness thereof. The Trustee makes no representation as to the validity or sufficiency of this Supplemental Indenture. All of the provisions contained in the Indenture in respect of the rights, privileges, immunities, powers, and duties of the Trustee shall be applicable in respect of the Supplemental Indenture as fully and with like force and effect as though set forth in full 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3.03. </w:t>
      </w:r>
      <w:r>
        <w:rPr>
          <w:rFonts w:ascii="Times New Roman" w:hAnsi="Times New Roman"/>
          <w:i/>
          <w:color w:val="000000"/>
          <w:sz w:val="22"/>
        </w:rPr>
        <w:t>Successors</w:t>
      </w:r>
      <w:r>
        <w:rPr>
          <w:rFonts w:ascii="Times New Roman" w:hAnsi="Times New Roman"/>
          <w:color w:val="000000"/>
          <w:sz w:val="22"/>
        </w:rPr>
        <w:t>. All agreements of the Company and the Trustee in this Supplemental Indenture will bind their respective successors.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3.04. </w:t>
      </w:r>
      <w:r>
        <w:rPr>
          <w:rFonts w:ascii="Times New Roman" w:hAnsi="Times New Roman"/>
          <w:i/>
          <w:color w:val="000000"/>
          <w:sz w:val="22"/>
        </w:rPr>
        <w:t>Governing Law</w:t>
      </w:r>
      <w:r>
        <w:rPr>
          <w:rFonts w:ascii="Times New Roman" w:hAnsi="Times New Roman"/>
          <w:color w:val="000000"/>
          <w:sz w:val="22"/>
        </w:rPr>
        <w:t>. THIS SUPPLEMENTAL INDENTURE AND ANY CLAIM, CONTROVERSY OR DISPUTE ARISING UNDER OR RELATED TO THIS SUPPLEMENTAL INDENTURE SHALL BE GOVERNED BY, AND CONSTRUED IN ACCORDANCE WITH, THE LAWS OF THE STATE OF NEW YORK.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Section 3.05. </w:t>
      </w:r>
      <w:r>
        <w:rPr>
          <w:rFonts w:ascii="Times New Roman" w:hAnsi="Times New Roman"/>
          <w:i/>
          <w:color w:val="000000"/>
          <w:sz w:val="22"/>
        </w:rPr>
        <w:t xml:space="preserve">Headings, Etc. </w:t>
      </w:r>
      <w:r>
        <w:rPr>
          <w:rFonts w:ascii="Times New Roman" w:hAnsi="Times New Roman"/>
          <w:color w:val="000000"/>
          <w:sz w:val="22"/>
        </w:rPr>
        <w:t>The titles and headings of the articles and sections of this Supplemental Indenture have been inserted for convenience of reference only, are not to be considered a part hereof, and shall in no way modify or restrict any of the terms or provisions hereof.</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3.06. </w:t>
      </w:r>
      <w:r>
        <w:rPr>
          <w:rFonts w:ascii="Times New Roman" w:hAnsi="Times New Roman"/>
          <w:i/>
          <w:color w:val="000000"/>
          <w:sz w:val="22"/>
        </w:rPr>
        <w:t>Execution in Counterparts</w:t>
      </w:r>
      <w:r>
        <w:rPr>
          <w:rFonts w:ascii="Times New Roman" w:hAnsi="Times New Roman"/>
          <w:color w:val="000000"/>
          <w:sz w:val="22"/>
        </w:rPr>
        <w:t>.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Section 3.07. </w:t>
      </w:r>
      <w:r>
        <w:rPr>
          <w:rFonts w:ascii="Times New Roman" w:hAnsi="Times New Roman"/>
          <w:i/>
          <w:color w:val="000000"/>
          <w:sz w:val="22"/>
        </w:rPr>
        <w:t>Severability</w:t>
      </w:r>
      <w:r>
        <w:rPr>
          <w:rFonts w:ascii="Times New Roman" w:hAnsi="Times New Roman"/>
          <w:color w:val="000000"/>
          <w:sz w:val="22"/>
        </w:rPr>
        <w:t>. In the event any provision of this Supplemental Indenture shall be invalid, illegal or unenforceable, then (to the extent permitted by law) the validity, legality or enforceability of the remaining provisions shall not in any way be affected or impaired.</w:t>
      </w:r>
    </w:p>
    <w:p>
      <w:pPr>
        <w:pStyle w:val="TextBody"/>
        <w:bidi w:val="0"/>
        <w:jc w:val="left"/>
        <w:rPr>
          <w:rFonts w:ascii="Times New Roman" w:hAnsi="Times New Roman"/>
          <w:sz w:val="20"/>
        </w:rPr>
      </w:pPr>
      <w:r>
        <w:rPr>
          <w:rFonts w:ascii="Times New Roman" w:hAnsi="Times New Roman"/>
          <w:color w:val="000000"/>
          <w:sz w:val="22"/>
        </w:rPr>
        <w:t xml:space="preserve">Section 3.08. </w:t>
      </w:r>
      <w:r>
        <w:rPr>
          <w:rFonts w:ascii="Times New Roman" w:hAnsi="Times New Roman"/>
          <w:i/>
          <w:color w:val="000000"/>
          <w:sz w:val="22"/>
        </w:rPr>
        <w:t>Waiver of Jury Trial</w:t>
      </w:r>
      <w:r>
        <w:rPr>
          <w:rFonts w:ascii="Times New Roman" w:hAnsi="Times New Roman"/>
          <w:color w:val="000000"/>
          <w:sz w:val="22"/>
        </w:rPr>
        <w:t>. EACH OF THE COMPANY AND THE TRUSTEE HEREBY IRREVOCABLY WAIVES, TO THE FULLEST EXTENT PERMITTED BY APPLICABLE LAW, ANY AND ALL RIGHT TO TRIAL BY JURY IN ANY LEGAL PROCEEDING ARISING OUT OF OR RELATING TO THIS SUPPLEMENTAL INDENTURE OR THE TRANSACTIONS CONTEMPLATED HEREBY.</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 WITNESS WHEREOF, the parties hereto have caused this Supplemental Indenture to be duly executed as of the day and year first above written.</w:t>
      </w:r>
      <w:r>
        <w:rPr>
          <w:rFonts w:ascii="Times New Roman" w:hAnsi="Times New Roman"/>
          <w:color w:val="000000"/>
          <w:sz w:val="20"/>
        </w:rPr>
        <w:t xml:space="preserve"> </w:t>
      </w:r>
    </w:p>
    <w:tbl>
      <w:tblPr>
        <w:tblW w:w="7139" w:type="dxa"/>
        <w:jc w:val="left"/>
        <w:tblInd w:w="0" w:type="dxa"/>
        <w:tblLayout w:type="fixed"/>
        <w:tblCellMar>
          <w:top w:w="28" w:type="dxa"/>
          <w:left w:w="28" w:type="dxa"/>
          <w:bottom w:w="28" w:type="dxa"/>
          <w:right w:w="28" w:type="dxa"/>
        </w:tblCellMar>
      </w:tblPr>
      <w:tblGrid>
        <w:gridCol w:w="689"/>
        <w:gridCol w:w="1122"/>
        <w:gridCol w:w="5328"/>
      </w:tblGrid>
      <w:tr>
        <w:trPr/>
        <w:tc>
          <w:tcPr>
            <w:tcW w:w="6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328" w:type="dxa"/>
            <w:tcBorders/>
            <w:vAlign w:val="center"/>
          </w:tcPr>
          <w:p>
            <w:pPr>
              <w:pStyle w:val="TableContents"/>
              <w:bidi w:val="0"/>
              <w:spacing w:before="0" w:after="283"/>
              <w:jc w:val="left"/>
              <w:rPr>
                <w:sz w:val="4"/>
                <w:szCs w:val="4"/>
              </w:rPr>
            </w:pPr>
            <w:r>
              <w:rPr>
                <w:sz w:val="4"/>
                <w:szCs w:val="4"/>
              </w:rPr>
            </w:r>
          </w:p>
        </w:tc>
      </w:tr>
      <w:tr>
        <w:trPr/>
        <w:tc>
          <w:tcPr>
            <w:tcW w:w="689"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left"/>
              <w:rPr/>
            </w:pPr>
            <w:r>
              <w:rPr/>
              <w:t> </w:t>
            </w:r>
          </w:p>
        </w:tc>
        <w:tc>
          <w:tcPr>
            <w:tcW w:w="53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9" w:type="dxa"/>
            <w:gridSpan w:val="3"/>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TEMPUS AI, INC.</w:t>
            </w:r>
          </w:p>
        </w:tc>
      </w:tr>
      <w:tr>
        <w:trPr/>
        <w:tc>
          <w:tcPr>
            <w:tcW w:w="6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color w:val="000000"/>
              </w:rPr>
            </w:pPr>
            <w:r>
              <w:rPr>
                <w:color w:val="000000"/>
              </w:rPr>
              <w:t> </w:t>
            </w:r>
            <w:r>
              <w:rPr>
                <w:rFonts w:ascii="Times New Roman" w:hAnsi="Times New Roman"/>
                <w:color w:val="000000"/>
                <w:sz w:val="22"/>
              </w:rPr>
              <w:t>/s/ James Rogers</w:t>
            </w:r>
          </w:p>
        </w:tc>
      </w:tr>
      <w:tr>
        <w:trPr/>
        <w:tc>
          <w:tcPr>
            <w:tcW w:w="689"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James Rogers</w:t>
            </w:r>
          </w:p>
        </w:tc>
      </w:tr>
      <w:tr>
        <w:trPr/>
        <w:tc>
          <w:tcPr>
            <w:tcW w:w="689"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ind w:left="0" w:right="0" w:firstLine="648"/>
              <w:jc w:val="left"/>
              <w:rPr>
                <w:sz w:val="4"/>
                <w:szCs w:val="4"/>
              </w:rPr>
            </w:pPr>
            <w:r>
              <w:rPr>
                <w:sz w:val="4"/>
                <w:szCs w:val="4"/>
              </w:rPr>
            </w:r>
          </w:p>
        </w:tc>
        <w:tc>
          <w:tcPr>
            <w:tcW w:w="5328" w:type="dxa"/>
            <w:tcBorders/>
            <w:tcMar>
              <w:top w:w="0" w:type="dxa"/>
              <w:left w:w="0" w:type="dxa"/>
              <w:bottom w:w="0" w:type="dxa"/>
              <w:right w:w="0" w:type="dxa"/>
            </w:tcMar>
            <w:vAlign w:val="center"/>
          </w:tcPr>
          <w:p>
            <w:pPr>
              <w:pStyle w:val="TableContents"/>
              <w:bidi w:val="0"/>
              <w:spacing w:before="0" w:after="283"/>
              <w:ind w:left="0" w:right="0" w:firstLine="648"/>
              <w:jc w:val="left"/>
              <w:rPr>
                <w:rFonts w:ascii="Times New Roman" w:hAnsi="Times New Roman"/>
                <w:color w:val="000000"/>
                <w:sz w:val="22"/>
              </w:rPr>
            </w:pPr>
            <w:r>
              <w:rPr>
                <w:rFonts w:ascii="Times New Roman" w:hAnsi="Times New Roman"/>
                <w:color w:val="000000"/>
                <w:sz w:val="22"/>
              </w:rPr>
              <w:t>Title: Chief Financial Officer</w:t>
            </w:r>
          </w:p>
        </w:tc>
      </w:tr>
      <w:tr>
        <w:trPr/>
        <w:tc>
          <w:tcPr>
            <w:tcW w:w="689" w:type="dxa"/>
            <w:tcBorders/>
            <w:tcMar>
              <w:top w:w="0" w:type="dxa"/>
              <w:left w:w="0" w:type="dxa"/>
              <w:bottom w:w="0" w:type="dxa"/>
              <w:right w:w="0" w:type="dxa"/>
            </w:tcMar>
            <w:vAlign w:val="center"/>
          </w:tcPr>
          <w:p>
            <w:pPr>
              <w:pStyle w:val="TableContents"/>
              <w:bidi w:val="0"/>
              <w:spacing w:before="0" w:after="240"/>
              <w:jc w:val="left"/>
              <w:rPr/>
            </w:pPr>
            <w:r>
              <w:rPr/>
              <w:t> </w:t>
            </w:r>
          </w:p>
        </w:tc>
        <w:tc>
          <w:tcPr>
            <w:tcW w:w="1122" w:type="dxa"/>
            <w:tcBorders/>
            <w:tcMar>
              <w:top w:w="0" w:type="dxa"/>
              <w:left w:w="0" w:type="dxa"/>
              <w:bottom w:w="0" w:type="dxa"/>
              <w:right w:w="0" w:type="dxa"/>
            </w:tcMar>
            <w:vAlign w:val="center"/>
          </w:tcPr>
          <w:p>
            <w:pPr>
              <w:pStyle w:val="TableContents"/>
              <w:bidi w:val="0"/>
              <w:spacing w:before="0" w:after="240"/>
              <w:jc w:val="left"/>
              <w:rPr/>
            </w:pPr>
            <w:r>
              <w:rPr/>
              <w:t> </w:t>
            </w:r>
          </w:p>
        </w:tc>
        <w:tc>
          <w:tcPr>
            <w:tcW w:w="5328"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7139" w:type="dxa"/>
            <w:gridSpan w:val="3"/>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U.S. BANK TRUST COMPANY, NATIONAL ASSOCIATION, as Trustee</w:t>
            </w:r>
          </w:p>
        </w:tc>
      </w:tr>
      <w:tr>
        <w:trPr/>
        <w:tc>
          <w:tcPr>
            <w:tcW w:w="6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Bradley E. Scarbrough</w:t>
            </w:r>
          </w:p>
        </w:tc>
      </w:tr>
      <w:tr>
        <w:trPr/>
        <w:tc>
          <w:tcPr>
            <w:tcW w:w="689"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Bradley E. Scarbrough</w:t>
            </w:r>
          </w:p>
        </w:tc>
      </w:tr>
      <w:tr>
        <w:trPr/>
        <w:tc>
          <w:tcPr>
            <w:tcW w:w="689"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Vice President</w:t>
            </w:r>
          </w:p>
        </w:tc>
      </w:tr>
    </w:tbl>
    <w:p>
      <w:pPr>
        <w:pStyle w:val="TextBody"/>
        <w:bidi w:val="0"/>
        <w:spacing w:before="0" w:after="240"/>
        <w:jc w:val="center"/>
        <w:rPr/>
      </w:pPr>
      <w:r>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First Supplemental Indenture]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3" w:name="tem-ex10_3.htm"/>
      <w:bookmarkStart w:id="34" w:name="kstemex10_3"/>
      <w:bookmarkEnd w:id="33"/>
      <w:bookmarkEnd w:id="34"/>
      <w:r>
        <w:rPr>
          <w:rFonts w:ascii="Times New Roman" w:hAnsi="Times New Roman"/>
          <w:color w:val="000000"/>
          <w:sz w:val="24"/>
        </w:rPr>
        <w:t>Exhibit 10.3</w:t>
      </w:r>
      <w:r>
        <w:br w:type="page"/>
      </w:r>
    </w:p>
    <w:p>
      <w:pPr>
        <w:pStyle w:val="TextBody"/>
        <w:bidi w:val="0"/>
        <w:jc w:val="center"/>
        <w:rPr>
          <w:rFonts w:ascii="Times New Roman" w:hAnsi="Times New Roman"/>
          <w:sz w:val="20"/>
        </w:rPr>
      </w:pPr>
      <w:r>
        <w:rPr>
          <w:rFonts w:ascii="Times New Roman" w:hAnsi="Times New Roman"/>
          <w:b/>
          <w:color w:val="000000"/>
          <w:sz w:val="24"/>
        </w:rPr>
        <w:t>Tempus AI, Inc.</w:t>
        <w:br/>
      </w:r>
      <w:r>
        <w:rPr>
          <w:rFonts w:ascii="Times New Roman" w:hAnsi="Times New Roman"/>
          <w:color w:val="000000"/>
          <w:sz w:val="24"/>
        </w:rPr>
        <w:t>Class A Common Stock</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(par value $0.0001 per share)</w:t>
      </w:r>
    </w:p>
    <w:p>
      <w:pPr>
        <w:pStyle w:val="TextBody"/>
        <w:bidi w:val="0"/>
        <w:spacing w:before="0" w:after="240"/>
        <w:jc w:val="center"/>
        <w:rPr>
          <w:rFonts w:ascii="Times New Roman" w:hAnsi="Times New Roman"/>
          <w:sz w:val="20"/>
        </w:rPr>
      </w:pPr>
      <w:r>
        <w:rPr>
          <w:rFonts w:ascii="Times New Roman" w:hAnsi="Times New Roman"/>
          <w:b/>
          <w:color w:val="000000"/>
          <w:sz w:val="24"/>
        </w:rPr>
        <w:t>Controlled Equity Offering</w:t>
      </w:r>
      <w:r>
        <w:rPr>
          <w:rFonts w:ascii="Times New Roman" w:hAnsi="Times New Roman"/>
          <w:b/>
          <w:color w:val="000000"/>
          <w:sz w:val="16"/>
        </w:rPr>
        <w:t>SM</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Sales Agreement</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August 8, 2025</w:t>
      </w:r>
    </w:p>
    <w:p>
      <w:pPr>
        <w:pStyle w:val="TextBody"/>
        <w:bidi w:val="0"/>
        <w:jc w:val="both"/>
        <w:rPr>
          <w:rFonts w:ascii="Times New Roman" w:hAnsi="Times New Roman"/>
          <w:color w:val="000000"/>
          <w:sz w:val="24"/>
        </w:rPr>
      </w:pPr>
      <w:r>
        <w:rPr>
          <w:rFonts w:ascii="Times New Roman" w:hAnsi="Times New Roman"/>
          <w:color w:val="000000"/>
          <w:sz w:val="24"/>
        </w:rPr>
        <w:t>Morgan Stanley &amp; Co. LLC</w:t>
      </w:r>
    </w:p>
    <w:p>
      <w:pPr>
        <w:pStyle w:val="TextBody"/>
        <w:bidi w:val="0"/>
        <w:jc w:val="both"/>
        <w:rPr>
          <w:rFonts w:ascii="Times New Roman" w:hAnsi="Times New Roman"/>
          <w:color w:val="000000"/>
          <w:sz w:val="24"/>
        </w:rPr>
      </w:pPr>
      <w:r>
        <w:rPr>
          <w:rFonts w:ascii="Times New Roman" w:hAnsi="Times New Roman"/>
          <w:color w:val="000000"/>
          <w:sz w:val="24"/>
        </w:rPr>
        <w:t>1585 Broadway</w:t>
      </w:r>
    </w:p>
    <w:p>
      <w:pPr>
        <w:pStyle w:val="TextBody"/>
        <w:bidi w:val="0"/>
        <w:jc w:val="both"/>
        <w:rPr>
          <w:rFonts w:ascii="Times New Roman" w:hAnsi="Times New Roman"/>
          <w:color w:val="000000"/>
          <w:sz w:val="24"/>
        </w:rPr>
      </w:pPr>
      <w:r>
        <w:rPr>
          <w:rFonts w:ascii="Times New Roman" w:hAnsi="Times New Roman"/>
          <w:color w:val="000000"/>
          <w:sz w:val="24"/>
        </w:rPr>
        <w:t>New York, New York 10036</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Cantor Fitzgerald &amp; Co.</w:t>
      </w:r>
    </w:p>
    <w:p>
      <w:pPr>
        <w:pStyle w:val="TextBody"/>
        <w:bidi w:val="0"/>
        <w:jc w:val="both"/>
        <w:rPr>
          <w:rFonts w:ascii="Times New Roman" w:hAnsi="Times New Roman"/>
          <w:color w:val="000000"/>
          <w:sz w:val="24"/>
        </w:rPr>
      </w:pPr>
      <w:r>
        <w:rPr>
          <w:rFonts w:ascii="Times New Roman" w:hAnsi="Times New Roman"/>
          <w:color w:val="000000"/>
          <w:sz w:val="24"/>
        </w:rPr>
        <w:t>110 East 59th Street, 6th floor</w:t>
      </w:r>
    </w:p>
    <w:p>
      <w:pPr>
        <w:pStyle w:val="TextBody"/>
        <w:bidi w:val="0"/>
        <w:jc w:val="both"/>
        <w:rPr>
          <w:rFonts w:ascii="Times New Roman" w:hAnsi="Times New Roman"/>
          <w:color w:val="000000"/>
          <w:sz w:val="24"/>
        </w:rPr>
      </w:pPr>
      <w:r>
        <w:rPr>
          <w:rFonts w:ascii="Times New Roman" w:hAnsi="Times New Roman"/>
          <w:color w:val="000000"/>
          <w:sz w:val="24"/>
        </w:rPr>
        <w:t>New York, New York 10022</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TD Securities (USA) LLC</w:t>
      </w:r>
    </w:p>
    <w:p>
      <w:pPr>
        <w:pStyle w:val="TextBody"/>
        <w:bidi w:val="0"/>
        <w:jc w:val="both"/>
        <w:rPr>
          <w:rFonts w:ascii="Times New Roman" w:hAnsi="Times New Roman"/>
          <w:sz w:val="20"/>
        </w:rPr>
      </w:pPr>
      <w:r>
        <w:rPr>
          <w:rFonts w:ascii="Times New Roman" w:hAnsi="Times New Roman"/>
          <w:color w:val="000000"/>
          <w:sz w:val="24"/>
        </w:rPr>
        <w:t>1 Vanderbilt Avenue</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New York, New York 10017</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Allen &amp; Company LLC</w:t>
      </w:r>
    </w:p>
    <w:p>
      <w:pPr>
        <w:pStyle w:val="TextBody"/>
        <w:bidi w:val="0"/>
        <w:jc w:val="both"/>
        <w:rPr>
          <w:rFonts w:ascii="Times New Roman" w:hAnsi="Times New Roman"/>
          <w:color w:val="000000"/>
          <w:sz w:val="24"/>
        </w:rPr>
      </w:pPr>
      <w:r>
        <w:rPr>
          <w:rFonts w:ascii="Times New Roman" w:hAnsi="Times New Roman"/>
          <w:color w:val="000000"/>
          <w:sz w:val="24"/>
        </w:rPr>
        <w:t>711 Fifth Avenue</w:t>
      </w:r>
    </w:p>
    <w:p>
      <w:pPr>
        <w:pStyle w:val="TextBody"/>
        <w:bidi w:val="0"/>
        <w:jc w:val="both"/>
        <w:rPr>
          <w:rFonts w:ascii="Times New Roman" w:hAnsi="Times New Roman"/>
          <w:color w:val="000000"/>
          <w:sz w:val="24"/>
        </w:rPr>
      </w:pPr>
      <w:r>
        <w:rPr>
          <w:rFonts w:ascii="Times New Roman" w:hAnsi="Times New Roman"/>
          <w:color w:val="000000"/>
          <w:sz w:val="24"/>
        </w:rPr>
        <w:t>New York, New York 10022</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Tempus AI, Inc., a Nevada corporation (the “</w:t>
      </w:r>
      <w:r>
        <w:rPr>
          <w:rFonts w:ascii="Times New Roman" w:hAnsi="Times New Roman"/>
          <w:b/>
          <w:color w:val="000000"/>
          <w:sz w:val="24"/>
          <w:u w:val="single"/>
        </w:rPr>
        <w:t>Company</w:t>
      </w:r>
      <w:r>
        <w:rPr>
          <w:rFonts w:ascii="Times New Roman" w:hAnsi="Times New Roman"/>
          <w:color w:val="000000"/>
          <w:sz w:val="20"/>
        </w:rPr>
        <w:t>”</w:t>
      </w:r>
      <w:r>
        <w:rPr>
          <w:rFonts w:ascii="Times New Roman" w:hAnsi="Times New Roman"/>
          <w:color w:val="000000"/>
          <w:sz w:val="24"/>
        </w:rPr>
        <w:t>), confirms its agreement (this “</w:t>
      </w:r>
      <w:r>
        <w:rPr>
          <w:rFonts w:ascii="Times New Roman" w:hAnsi="Times New Roman"/>
          <w:b/>
          <w:color w:val="000000"/>
          <w:sz w:val="24"/>
          <w:u w:val="single"/>
        </w:rPr>
        <w:t>Agreement</w:t>
      </w:r>
      <w:r>
        <w:rPr>
          <w:rFonts w:ascii="Times New Roman" w:hAnsi="Times New Roman"/>
          <w:color w:val="000000"/>
          <w:sz w:val="20"/>
        </w:rPr>
        <w:t>”</w:t>
      </w:r>
      <w:r>
        <w:rPr>
          <w:rFonts w:ascii="Times New Roman" w:hAnsi="Times New Roman"/>
          <w:color w:val="000000"/>
          <w:sz w:val="24"/>
        </w:rPr>
        <w:t>) with Morgan Stanley &amp; Co. LLC, Cantor Fitzgerald &amp; Co., TD Securities (USA) LLC and Allen &amp; Company LLC (each, an “</w:t>
      </w:r>
      <w:r>
        <w:rPr>
          <w:rFonts w:ascii="Times New Roman" w:hAnsi="Times New Roman"/>
          <w:b/>
          <w:color w:val="000000"/>
          <w:sz w:val="24"/>
          <w:u w:val="single"/>
        </w:rPr>
        <w:t>Agent</w:t>
      </w:r>
      <w:r>
        <w:rPr>
          <w:rFonts w:ascii="Times New Roman" w:hAnsi="Times New Roman"/>
          <w:color w:val="000000"/>
          <w:sz w:val="20"/>
        </w:rPr>
        <w:t xml:space="preserve">” </w:t>
      </w:r>
      <w:r>
        <w:rPr>
          <w:rFonts w:ascii="Times New Roman" w:hAnsi="Times New Roman"/>
          <w:color w:val="000000"/>
          <w:sz w:val="24"/>
        </w:rPr>
        <w:t>and, together, the “</w:t>
      </w:r>
      <w:r>
        <w:rPr>
          <w:rFonts w:ascii="Times New Roman" w:hAnsi="Times New Roman"/>
          <w:b/>
          <w:color w:val="000000"/>
          <w:sz w:val="24"/>
          <w:u w:val="single"/>
        </w:rPr>
        <w:t>Agents</w:t>
      </w:r>
      <w:r>
        <w:rPr>
          <w:rFonts w:ascii="Times New Roman" w:hAnsi="Times New Roman"/>
          <w:color w:val="000000"/>
          <w:sz w:val="20"/>
        </w:rPr>
        <w:t>”</w:t>
      </w:r>
      <w:r>
        <w:rPr>
          <w:rFonts w:ascii="Times New Roman" w:hAnsi="Times New Roman"/>
          <w:color w:val="000000"/>
          <w:sz w:val="24"/>
        </w:rPr>
        <w:t>),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Issuance and Sale of Shares</w:t>
      </w:r>
      <w:r>
        <w:rPr>
          <w:rFonts w:ascii="Times New Roman" w:hAnsi="Times New Roman"/>
          <w:color w:val="000000"/>
          <w:sz w:val="24"/>
        </w:rPr>
        <w:t>. The Company agrees that, from time to time during the term of this Agreement, on the terms and subject to the conditions set forth herein, it may issue and sell through or to one of the Agents, as sales agents or principals, shares (the “</w:t>
      </w:r>
      <w:r>
        <w:rPr>
          <w:rFonts w:ascii="Times New Roman" w:hAnsi="Times New Roman"/>
          <w:b/>
          <w:color w:val="000000"/>
          <w:sz w:val="24"/>
          <w:u w:val="single"/>
        </w:rPr>
        <w:t>Placement Shares</w:t>
      </w:r>
      <w:r>
        <w:rPr>
          <w:color w:val="000000"/>
        </w:rPr>
        <w:t>”</w:t>
      </w:r>
      <w:r>
        <w:rPr>
          <w:rFonts w:ascii="Times New Roman" w:hAnsi="Times New Roman"/>
          <w:color w:val="000000"/>
          <w:sz w:val="24"/>
        </w:rPr>
        <w:t>) of the Company’s Class A Common Stock, par value $0.0001 per share (the “</w:t>
      </w:r>
      <w:r>
        <w:rPr>
          <w:rFonts w:ascii="Times New Roman" w:hAnsi="Times New Roman"/>
          <w:b/>
          <w:color w:val="000000"/>
          <w:sz w:val="24"/>
          <w:u w:val="single"/>
        </w:rPr>
        <w:t>Common Stock</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in no event shall the Company issue or sell through the Agents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an ATM Prospectus (defined below) (the lesser of (a), (b), (c) and (d), the “</w:t>
      </w:r>
      <w:r>
        <w:rPr>
          <w:rFonts w:ascii="Times New Roman" w:hAnsi="Times New Roman"/>
          <w:b/>
          <w:color w:val="000000"/>
          <w:sz w:val="24"/>
          <w:u w:val="single"/>
        </w:rPr>
        <w:t>Maximum Amount</w:t>
      </w:r>
      <w:r>
        <w:rPr>
          <w:color w:val="000000"/>
        </w:rPr>
        <w:t>”</w:t>
      </w:r>
      <w:r>
        <w:rPr>
          <w:rFonts w:ascii="Times New Roman" w:hAnsi="Times New Roman"/>
          <w:color w:val="000000"/>
          <w:sz w:val="24"/>
        </w:rPr>
        <w:t xml:space="preserve">). Notwithstanding anything to the contrary contained herein, the parties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hereto agree that compliance with the limitations set forth in this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on the number of Placement Shares issued and sold under this Agreement shall be the sole responsibility of the Company and that the Agents shall have no obligation in connection with such compliance. The issuance and sale of Placement Shares through the Agents will be effected pursuant to the Registration Statement (as defined below), although nothing in this Agreement shall be construed as requiring the Company to use the Registration Statement to issue any Placement Shares.</w:t>
      </w:r>
    </w:p>
    <w:p>
      <w:pPr>
        <w:pStyle w:val="TextBody"/>
        <w:bidi w:val="0"/>
        <w:spacing w:before="0" w:after="240"/>
        <w:jc w:val="both"/>
        <w:rPr>
          <w:rFonts w:ascii="Times New Roman" w:hAnsi="Times New Roman"/>
          <w:sz w:val="20"/>
        </w:rPr>
      </w:pPr>
      <w:r>
        <w:rPr>
          <w:rFonts w:ascii="Times New Roman" w:hAnsi="Times New Roman"/>
          <w:color w:val="000000"/>
          <w:sz w:val="24"/>
        </w:rPr>
        <w:t>The Company has filed or will file, in accordance with the provisions of the Securities Act of 1933, as amended and the rules and regulations thereunder (the “</w:t>
      </w:r>
      <w:r>
        <w:rPr>
          <w:rFonts w:ascii="Times New Roman" w:hAnsi="Times New Roman"/>
          <w:b/>
          <w:color w:val="000000"/>
          <w:sz w:val="24"/>
          <w:u w:val="single"/>
        </w:rPr>
        <w:t>Securities Act</w:t>
      </w:r>
      <w:r>
        <w:rPr>
          <w:rFonts w:ascii="Times New Roman" w:hAnsi="Times New Roman"/>
          <w:color w:val="000000"/>
          <w:sz w:val="20"/>
        </w:rPr>
        <w:t>”</w:t>
      </w:r>
      <w:r>
        <w:rPr>
          <w:rFonts w:ascii="Times New Roman" w:hAnsi="Times New Roman"/>
          <w:color w:val="000000"/>
          <w:sz w:val="24"/>
        </w:rPr>
        <w:t>), with the Securities and Exchange Commission (the “</w:t>
      </w:r>
      <w:r>
        <w:rPr>
          <w:rFonts w:ascii="Times New Roman" w:hAnsi="Times New Roman"/>
          <w:b/>
          <w:color w:val="000000"/>
          <w:sz w:val="24"/>
        </w:rPr>
        <w:t>Commission</w:t>
      </w:r>
      <w:r>
        <w:rPr>
          <w:rFonts w:ascii="Times New Roman" w:hAnsi="Times New Roman"/>
          <w:color w:val="000000"/>
          <w:sz w:val="20"/>
        </w:rPr>
        <w:t>”</w:t>
      </w:r>
      <w:r>
        <w:rPr>
          <w:rFonts w:ascii="Times New Roman" w:hAnsi="Times New Roman"/>
          <w:color w:val="000000"/>
          <w:sz w:val="24"/>
        </w:rPr>
        <w:t>)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 w:hAnsi="Times New Roman"/>
          <w:b/>
          <w:color w:val="000000"/>
          <w:sz w:val="24"/>
          <w:u w:val="single"/>
        </w:rPr>
        <w:t>Exchange Act</w:t>
      </w:r>
      <w:r>
        <w:rPr>
          <w:rFonts w:ascii="Times New Roman" w:hAnsi="Times New Roman"/>
          <w:color w:val="000000"/>
          <w:sz w:val="20"/>
        </w:rPr>
        <w:t>”</w:t>
      </w:r>
      <w:r>
        <w:rPr>
          <w:rFonts w:ascii="Times New Roman" w:hAnsi="Times New Roman"/>
          <w:color w:val="000000"/>
          <w:sz w:val="24"/>
        </w:rPr>
        <w:t>). The Company has prepared a prospectus included as part of such registration statement specifically relating to the Placement Shares (the “</w:t>
      </w:r>
      <w:r>
        <w:rPr>
          <w:rFonts w:ascii="Times New Roman" w:hAnsi="Times New Roman"/>
          <w:b/>
          <w:color w:val="000000"/>
          <w:sz w:val="24"/>
          <w:u w:val="single"/>
        </w:rPr>
        <w:t>ATM Prospectus</w:t>
      </w:r>
      <w:r>
        <w:rPr>
          <w:rFonts w:ascii="Times New Roman" w:hAnsi="Times New Roman"/>
          <w:color w:val="000000"/>
          <w:sz w:val="20"/>
        </w:rPr>
        <w:t>”</w:t>
      </w:r>
      <w:r>
        <w:rPr>
          <w:rFonts w:ascii="Times New Roman" w:hAnsi="Times New Roman"/>
          <w:color w:val="000000"/>
          <w:sz w:val="24"/>
        </w:rPr>
        <w:t>). The Company will furnish to the Agents, for use by the Agents, copies of any prospectus included as part of such registration statement, including the ATM Prospectus, relating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and any one or more additional effective registration statements on Form S-3 from time to time that will contain a base prospectus and related prospectus or prospectus supplement, if applicable (which shall be an ATM Prospectus), with respect to the Placement Shares, is herein called the “</w:t>
      </w:r>
      <w:r>
        <w:rPr>
          <w:rFonts w:ascii="Times New Roman" w:hAnsi="Times New Roman"/>
          <w:b/>
          <w:color w:val="000000"/>
          <w:sz w:val="24"/>
          <w:u w:val="single"/>
        </w:rPr>
        <w:t>Registration Statement</w:t>
      </w:r>
      <w:r>
        <w:rPr>
          <w:rFonts w:ascii="Times New Roman" w:hAnsi="Times New Roman"/>
          <w:color w:val="000000"/>
          <w:sz w:val="24"/>
        </w:rPr>
        <w:t>.” The ATM Prospectus, including all documents incorporated or deemed incorporated therein by reference to the extent such information has not been superseded or modified in accordance with Rule 412 of the Securities Act (as qualified by Rule 430(g) of the Securities Act), included in the Registration Statement, as it may be supplemented, if necessary, by any prospectus supplement, in the form in which such prospectus or prospectuses and/or prospectus supplements have most recently been filed by the Company with the Commission pursuant to Rule 424(b) under the Securities Act, together with the then issued Issuer Free Writing Prospectus(es) (as defined below), is herein called the “</w:t>
      </w:r>
      <w:r>
        <w:rPr>
          <w:rFonts w:ascii="Times New Roman" w:hAnsi="Times New Roman"/>
          <w:b/>
          <w:color w:val="000000"/>
          <w:sz w:val="24"/>
          <w:u w:val="single"/>
        </w:rPr>
        <w:t>Prospectus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Any reference herein to the Registration Statement, the Prospectus or any Issuer Free Writing Prospectus shall be deemed to refer to and include the documents, if any, incorporated or deemed to be incorporated by reference therein (the “</w:t>
      </w:r>
      <w:r>
        <w:rPr>
          <w:rFonts w:ascii="Times New Roman" w:hAnsi="Times New Roman"/>
          <w:b/>
          <w:color w:val="000000"/>
          <w:sz w:val="24"/>
          <w:u w:val="single"/>
        </w:rPr>
        <w:t>Incorporated Documents</w:t>
      </w:r>
      <w:r>
        <w:rPr>
          <w:rFonts w:ascii="Times New Roman" w:hAnsi="Times New Roman"/>
          <w:color w:val="000000"/>
          <w:sz w:val="20"/>
        </w:rPr>
        <w:t>”</w:t>
      </w:r>
      <w:r>
        <w:rPr>
          <w:rFonts w:ascii="Times New Roman" w:hAnsi="Times New Roman"/>
          <w:color w:val="000000"/>
          <w:sz w:val="24"/>
        </w:rPr>
        <w:t>), including, unless the context otherwise requires, the documents, if any, filed as exhibits to such Incorporated Documents. Any reference herein to the terms “amend,” “amendment” or “supplement” with respect to the Registration Statement, the Prospectus or any Issuer Free Writing Prospectus shall be deemed to refer to and include the filing of any document under the Exchange Act on or after the most-recent effective date of the Registration Statement, or the date of the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applicable, the Interactive Data Electronic Application system when used by the Commission (collectively, “</w:t>
      </w:r>
      <w:r>
        <w:rPr>
          <w:rFonts w:ascii="Times New Roman" w:hAnsi="Times New Roman"/>
          <w:b/>
          <w:color w:val="000000"/>
          <w:sz w:val="24"/>
          <w:u w:val="single"/>
        </w:rPr>
        <w:t>EDGAR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Placements</w:t>
      </w:r>
      <w:r>
        <w:rPr>
          <w:rFonts w:ascii="Times New Roman" w:hAnsi="Times New Roman"/>
          <w:color w:val="000000"/>
          <w:sz w:val="24"/>
        </w:rPr>
        <w:t>. Each time that the Company wishes to issue and sell Placement Shares hereunder (each, a “</w:t>
      </w:r>
      <w:r>
        <w:rPr>
          <w:rFonts w:ascii="Times New Roman" w:hAnsi="Times New Roman"/>
          <w:b/>
          <w:color w:val="000000"/>
          <w:sz w:val="24"/>
          <w:u w:val="single"/>
        </w:rPr>
        <w:t>Placement</w:t>
      </w:r>
      <w:r>
        <w:rPr>
          <w:color w:val="000000"/>
        </w:rPr>
        <w:t>”</w:t>
      </w:r>
      <w:r>
        <w:rPr>
          <w:rFonts w:ascii="Times New Roman" w:hAnsi="Times New Roman"/>
          <w:color w:val="000000"/>
          <w:sz w:val="24"/>
        </w:rPr>
        <w:t>), it will notify an Agent (the “</w:t>
      </w:r>
      <w:r>
        <w:rPr>
          <w:rFonts w:ascii="Times New Roman" w:hAnsi="Times New Roman"/>
          <w:b/>
          <w:color w:val="000000"/>
          <w:sz w:val="24"/>
          <w:u w:val="single"/>
        </w:rPr>
        <w:t>Designated Agent</w:t>
      </w:r>
      <w:r>
        <w:rPr>
          <w:color w:val="000000"/>
        </w:rPr>
        <w:t>”</w:t>
      </w:r>
      <w:r>
        <w:rPr>
          <w:rFonts w:ascii="Times New Roman" w:hAnsi="Times New Roman"/>
          <w:color w:val="000000"/>
          <w:sz w:val="24"/>
        </w:rPr>
        <w: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hAnsi="Times New Roman"/>
          <w:b/>
          <w:color w:val="000000"/>
          <w:sz w:val="24"/>
          <w:u w:val="single"/>
        </w:rPr>
        <w:t>Placement Notice</w:t>
      </w:r>
      <w:r>
        <w:rPr>
          <w:color w:val="000000"/>
        </w:rPr>
        <w:t>”</w:t>
      </w:r>
      <w:r>
        <w:rPr>
          <w:rFonts w:ascii="Times New Roman" w:hAnsi="Times New Roman"/>
          <w:color w:val="000000"/>
          <w:sz w:val="24"/>
        </w:rPr>
        <w:t xml:space="preserve">), the form of which is attached hereto as </w:t>
      </w:r>
      <w:r>
        <w:rPr>
          <w:rFonts w:ascii="Times New Roman" w:hAnsi="Times New Roman"/>
          <w:color w:val="000000"/>
          <w:sz w:val="24"/>
          <w:u w:val="single"/>
        </w:rPr>
        <w:t>Schedule 1</w:t>
      </w:r>
      <w:r>
        <w:rPr>
          <w:rFonts w:ascii="Times New Roman" w:hAnsi="Times New Roman"/>
          <w:color w:val="000000"/>
          <w:sz w:val="24"/>
        </w:rPr>
        <w:t xml:space="preserve">. The Placement Notice shall originate from any of the individuals from the Company set forth on </w:t>
      </w:r>
      <w:r>
        <w:rPr>
          <w:rFonts w:ascii="Times New Roman" w:hAnsi="Times New Roman"/>
          <w:color w:val="000000"/>
          <w:sz w:val="24"/>
          <w:u w:val="single"/>
        </w:rPr>
        <w:t>Schedule 3</w:t>
      </w:r>
      <w:r>
        <w:rPr>
          <w:color w:val="000000"/>
        </w:rPr>
        <w:t xml:space="preserve"> </w:t>
      </w:r>
      <w:r>
        <w:rPr>
          <w:rFonts w:ascii="Times New Roman" w:hAnsi="Times New Roman"/>
          <w:color w:val="000000"/>
          <w:sz w:val="24"/>
        </w:rPr>
        <w:t xml:space="preserve">(with a copy to each of the other individuals from the Company listed on such schedule), and shall be addressed to each of the individuals from the Designated Agent as set forth on </w:t>
      </w:r>
      <w:r>
        <w:rPr>
          <w:rFonts w:ascii="Times New Roman" w:hAnsi="Times New Roman"/>
          <w:color w:val="000000"/>
          <w:sz w:val="24"/>
          <w:u w:val="single"/>
        </w:rPr>
        <w:t>Schedule 3</w:t>
      </w:r>
      <w:r>
        <w:rPr>
          <w:rFonts w:ascii="Times New Roman" w:hAnsi="Times New Roman"/>
          <w:color w:val="000000"/>
          <w:sz w:val="24"/>
        </w:rPr>
        <w:t xml:space="preserve">, as such </w:t>
      </w:r>
      <w:r>
        <w:rPr>
          <w:rFonts w:ascii="Times New Roman" w:hAnsi="Times New Roman"/>
          <w:color w:val="000000"/>
          <w:sz w:val="24"/>
          <w:u w:val="single"/>
        </w:rPr>
        <w:t>Schedule 3</w:t>
      </w:r>
      <w:r>
        <w:rPr>
          <w:color w:val="000000"/>
        </w:rPr>
        <w:t xml:space="preserve"> </w:t>
      </w:r>
      <w:r>
        <w:rPr>
          <w:rFonts w:ascii="Times New Roman" w:hAnsi="Times New Roman"/>
          <w:color w:val="000000"/>
          <w:sz w:val="24"/>
        </w:rPr>
        <w:t xml:space="preserve">may be amended from time to time. The Placement Notice shall be effective immediately upon receipt by the Designated Agent unless and until (i) the Designated Agent declines in writing to accept the terms contained therein for any reason, in its sole discretion, (ii) the entire amount of the Placement Shares thereunder has been sold, (iii) the Company suspends, amends, supersedes or terminates the Placement Notice or (iv) this Agreement has been terminated under the provisions of </w:t>
      </w:r>
      <w:r>
        <w:rPr>
          <w:rFonts w:ascii="Times New Roman" w:hAnsi="Times New Roman"/>
          <w:color w:val="000000"/>
          <w:sz w:val="24"/>
          <w:u w:val="single"/>
        </w:rPr>
        <w:t>Section 12</w:t>
      </w:r>
      <w:r>
        <w:rPr>
          <w:rFonts w:ascii="Times New Roman" w:hAnsi="Times New Roman"/>
          <w:color w:val="000000"/>
          <w:sz w:val="24"/>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hAnsi="Times New Roman"/>
          <w:color w:val="000000"/>
          <w:sz w:val="24"/>
          <w:u w:val="single"/>
        </w:rPr>
        <w:t>Schedule 2</w:t>
      </w:r>
      <w:r>
        <w:rPr>
          <w:rFonts w:ascii="Times New Roman" w:hAnsi="Times New Roman"/>
          <w:color w:val="000000"/>
          <w:sz w:val="24"/>
        </w:rPr>
        <w:t xml:space="preserve">.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(and the Company does to suspend or terminate)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Sale of Placement Shares by the Agents</w:t>
      </w:r>
      <w:r>
        <w:rPr>
          <w:rFonts w:ascii="Times New Roman" w:hAnsi="Times New Roman"/>
          <w:color w:val="000000"/>
          <w:sz w:val="24"/>
        </w:rPr>
        <w:t xml:space="preserve">. Subject to the provisions of </w:t>
      </w:r>
      <w:r>
        <w:rPr>
          <w:rFonts w:ascii="Times New Roman" w:hAnsi="Times New Roman"/>
          <w:color w:val="000000"/>
          <w:sz w:val="24"/>
          <w:u w:val="single"/>
        </w:rPr>
        <w:t>Section 5(a)</w:t>
      </w:r>
      <w:r>
        <w:rPr>
          <w:rFonts w:ascii="Times New Roman" w:hAnsi="Times New Roman"/>
          <w:color w:val="000000"/>
          <w:sz w:val="24"/>
        </w:rPr>
        <w:t>, the Agent, for the period specified in a Placement Notice, the Designated Agent will use its commercially reasonable efforts consistent with its normal trading and sales practices and applicable state and federal laws, rules and regulations and the rules of the Nasdaq Global Select Market (the “</w:t>
      </w:r>
      <w:r>
        <w:rPr>
          <w:rFonts w:ascii="Times New Roman" w:hAnsi="Times New Roman"/>
          <w:b/>
          <w:color w:val="000000"/>
          <w:sz w:val="24"/>
          <w:u w:val="single"/>
        </w:rPr>
        <w:t>Exchange</w:t>
      </w:r>
      <w:r>
        <w:rPr>
          <w:color w:val="000000"/>
        </w:rPr>
        <w:t>”</w:t>
      </w:r>
      <w:r>
        <w:rPr>
          <w:rFonts w:ascii="Times New Roman" w:hAnsi="Times New Roman"/>
          <w:color w:val="000000"/>
          <w:sz w:val="24"/>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 xml:space="preserve">with respect to such sales, and the Net Proceeds (as defined below) payable to the Company, with an itemization of the deductions made by the Designated Agent (as set forth in </w:t>
      </w:r>
      <w:r>
        <w:rPr>
          <w:rFonts w:ascii="Times New Roman" w:hAnsi="Times New Roman"/>
          <w:color w:val="000000"/>
          <w:sz w:val="24"/>
          <w:u w:val="single"/>
        </w:rPr>
        <w:t>Section 5(b)</w:t>
      </w:r>
      <w:r>
        <w:rPr>
          <w:rFonts w:ascii="Times New Roman" w:hAnsi="Times New Roman"/>
          <w:color w:val="000000"/>
          <w:sz w:val="24"/>
        </w:rPr>
        <w:t>) from the gross proceeds that it receives from such sales. Subject to the terms of a Placement Notice, the Designated Agent may sell Placement Shares in negotiated transactions, including block trades or Block Sales, or by any method permitted by law deemed to be an “at the market” offering as defined in Rule 415(a)(4) of the Securities Act, including without limitation sales made through the Exchange or on any other existing trading market for the Common Stock, or by any other method permitted by law. In the event the Company engages the Designated Agent for a sale of Placement Shares that would constitute a “block” within the meaning of Rule 10b-18(a)(5) under the Exchange Act (a “</w:t>
      </w:r>
      <w:r>
        <w:rPr>
          <w:rFonts w:ascii="Times New Roman" w:hAnsi="Times New Roman"/>
          <w:b/>
          <w:color w:val="000000"/>
          <w:sz w:val="24"/>
          <w:u w:val="single"/>
        </w:rPr>
        <w:t xml:space="preserve">Block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b/>
          <w:color w:val="000000"/>
          <w:sz w:val="24"/>
          <w:u w:val="single"/>
        </w:rPr>
        <w:t>Sale</w:t>
      </w:r>
      <w:r>
        <w:rPr>
          <w:color w:val="000000"/>
        </w:rPr>
        <w:t>”</w:t>
      </w:r>
      <w:r>
        <w:rPr>
          <w:rFonts w:ascii="Times New Roman" w:hAnsi="Times New Roman"/>
          <w:color w:val="000000"/>
          <w:sz w:val="24"/>
        </w:rPr>
        <w:t xml:space="preserve">), the Company will provide the Designated Agent, at such Agent’s request and upon reasonable advance notice to the Company, on or prior to the Settlement Date (as defined below), the opinions of counsel, accountant’s letter and officers’ certificates set forth in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hereof with respect to a Representation Date, each dated the Settlement Date, and such other documents and information as the Designated Agent shall reasonably request. “</w:t>
      </w:r>
      <w:r>
        <w:rPr>
          <w:rFonts w:ascii="Times New Roman" w:hAnsi="Times New Roman"/>
          <w:b/>
          <w:color w:val="000000"/>
          <w:sz w:val="24"/>
          <w:u w:val="single"/>
        </w:rPr>
        <w:t>Trading Day</w:t>
      </w:r>
      <w:r>
        <w:rPr>
          <w:color w:val="000000"/>
        </w:rPr>
        <w:t xml:space="preserve">” </w:t>
      </w:r>
      <w:r>
        <w:rPr>
          <w:rFonts w:ascii="Times New Roman" w:hAnsi="Times New Roman"/>
          <w:color w:val="000000"/>
          <w:sz w:val="24"/>
        </w:rPr>
        <w:t>means any day on which shares of Common Stock are purchased and sold on the Exchange.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Suspension of Sales</w:t>
      </w:r>
      <w:r>
        <w:rPr>
          <w:rFonts w:ascii="Times New Roman" w:hAnsi="Times New Roman"/>
          <w:color w:val="000000"/>
          <w:sz w:val="24"/>
        </w:rPr>
        <w:t xml:space="preserve">. The Company or the Designated Agent may, upon notice to the other party in writing (including by email correspondence to each of the individuals of the other party set forth on </w:t>
      </w:r>
      <w:r>
        <w:rPr>
          <w:rFonts w:ascii="Times New Roman" w:hAnsi="Times New Roman"/>
          <w:color w:val="000000"/>
          <w:sz w:val="24"/>
          <w:u w:val="single"/>
        </w:rPr>
        <w:t>Schedule 3</w:t>
      </w:r>
      <w:r>
        <w:rPr>
          <w:rFonts w:ascii="Times New Roman" w:hAnsi="Times New Roman"/>
          <w:color w:val="000000"/>
          <w:sz w:val="24"/>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color w:val="000000"/>
          <w:sz w:val="24"/>
          <w:u w:val="single"/>
        </w:rPr>
        <w:t>Schedule 3</w:t>
      </w:r>
      <w:r>
        <w:rPr>
          <w:rFonts w:ascii="Times New Roman" w:hAnsi="Times New Roman"/>
          <w:color w:val="000000"/>
          <w:sz w:val="24"/>
        </w:rPr>
        <w:t>), suspend the sale of Placement Shares (a “</w:t>
      </w:r>
      <w:r>
        <w:rPr>
          <w:rFonts w:ascii="Times New Roman" w:hAnsi="Times New Roman"/>
          <w:b/>
          <w:color w:val="000000"/>
          <w:sz w:val="24"/>
          <w:u w:val="single"/>
        </w:rPr>
        <w:t>Suspension</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hAnsi="Times New Roman"/>
          <w:color w:val="000000"/>
          <w:sz w:val="24"/>
          <w:u w:val="single"/>
        </w:rPr>
        <w:t>Sections 7(l)</w:t>
      </w:r>
      <w:r>
        <w:rPr>
          <w:rFonts w:ascii="Times New Roman" w:hAnsi="Times New Roman"/>
          <w:color w:val="000000"/>
          <w:sz w:val="24"/>
        </w:rPr>
        <w:t xml:space="preserve">, </w:t>
      </w:r>
      <w:r>
        <w:rPr>
          <w:rFonts w:ascii="Times New Roman" w:hAnsi="Times New Roman"/>
          <w:color w:val="000000"/>
          <w:sz w:val="24"/>
          <w:u w:val="single"/>
        </w:rPr>
        <w:t>7(m)</w:t>
      </w:r>
      <w:r>
        <w:rPr>
          <w:rFonts w:ascii="Times New Roman" w:hAnsi="Times New Roman"/>
          <w:color w:val="000000"/>
          <w:sz w:val="24"/>
        </w:rPr>
        <w:t xml:space="preserve">, and </w:t>
      </w:r>
      <w:r>
        <w:rPr>
          <w:rFonts w:ascii="Times New Roman" w:hAnsi="Times New Roman"/>
          <w:color w:val="000000"/>
          <w:sz w:val="24"/>
          <w:u w:val="single"/>
        </w:rPr>
        <w:t>7(n)</w:t>
      </w:r>
      <w:r>
        <w:rPr>
          <w:color w:val="000000"/>
        </w:rPr>
        <w:t xml:space="preserve"> </w:t>
      </w:r>
      <w:r>
        <w:rPr>
          <w:rFonts w:ascii="Times New Roman" w:hAnsi="Times New Roman"/>
          <w:color w:val="000000"/>
          <w:sz w:val="24"/>
        </w:rPr>
        <w:t xml:space="preserve">with respect to the delivery of certificates, opinions, or comfort letters to the Agents shall be waived. Each of the parties agrees that no such notice under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 xml:space="preserve">shall be effective against any other party unless it is made to one of the individuals named on </w:t>
      </w:r>
      <w:r>
        <w:rPr>
          <w:rFonts w:ascii="Times New Roman" w:hAnsi="Times New Roman"/>
          <w:color w:val="000000"/>
          <w:sz w:val="24"/>
          <w:u w:val="single"/>
        </w:rPr>
        <w:t>Schedule 3</w:t>
      </w:r>
      <w:r>
        <w:rPr>
          <w:color w:val="000000"/>
        </w:rPr>
        <w:t xml:space="preserve"> </w:t>
      </w:r>
      <w:r>
        <w:rPr>
          <w:rFonts w:ascii="Times New Roman" w:hAnsi="Times New Roman"/>
          <w:color w:val="000000"/>
          <w:sz w:val="24"/>
        </w:rPr>
        <w:t xml:space="preserve">hereto, as such Schedule may be amended from time to time, and no such notice by an Agent under this Section shall be effective with respect to another Agent. Notwithstanding any other provision of this Agreement, during any period in which the Company is in possession of material non-public information and at any time during the periods on which trading of the Company’s securities is prohibited under the Company’s insider trading policy, the Company and the Agents agree that (i) no sale of Placement Shares will take place, (ii) the Company shall not request the sale of any Placement Shares, and (iii) the Agents shall not be obligated to sell or offer to sell any Placement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Sale and Delivery to the Agents; Settlement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Sale of Placement Shares</w:t>
      </w:r>
      <w:r>
        <w:rPr>
          <w:rFonts w:ascii="Times New Roman" w:hAnsi="Times New Roman"/>
          <w:i/>
          <w:color w:val="000000"/>
          <w:sz w:val="24"/>
        </w:rPr>
        <w:t xml:space="preserve">. </w:t>
      </w:r>
      <w:r>
        <w:rPr>
          <w:rFonts w:ascii="Times New Roman" w:hAnsi="Times New Roman"/>
          <w:color w:val="000000"/>
          <w:sz w:val="24"/>
        </w:rPr>
        <w:t>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to sell such Placement Shares up to the amount specified in,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their commercially reasonable efforts consistent with its normal trading and sales practices to sell such Placement Shares as required under this Agreement and (iii) the Agents shall be under no obligation to purchase Placement Shares on a principal basis pursuant to this Agreement, except as otherwise agreed by the Designated Agent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Settlement of Placement Shares</w:t>
      </w:r>
      <w:r>
        <w:rPr>
          <w:rFonts w:ascii="Times New Roman" w:hAnsi="Times New Roman"/>
          <w:i/>
          <w:color w:val="000000"/>
          <w:sz w:val="24"/>
        </w:rPr>
        <w:t xml:space="preserve">. </w:t>
      </w:r>
      <w:r>
        <w:rPr>
          <w:rFonts w:ascii="Times New Roman" w:hAnsi="Times New Roman"/>
          <w:color w:val="000000"/>
          <w:sz w:val="24"/>
        </w:rPr>
        <w:t>Unless otherwise specified in the applicable Placement Notice, settlement for sales of Placement Shares will occur on the first (1st) Trading Day following the date on which such sales are made (each, a “</w:t>
      </w:r>
      <w:r>
        <w:rPr>
          <w:rFonts w:ascii="Times New Roman" w:hAnsi="Times New Roman"/>
          <w:b/>
          <w:color w:val="000000"/>
          <w:sz w:val="24"/>
          <w:u w:val="single"/>
        </w:rPr>
        <w:t>Settlement Date</w:t>
      </w:r>
      <w:r>
        <w:rPr>
          <w:color w:val="000000"/>
        </w:rPr>
        <w:t>”</w:t>
      </w:r>
      <w:r>
        <w:rPr>
          <w:rFonts w:ascii="Times New Roman" w:hAnsi="Times New Roman"/>
          <w:color w:val="000000"/>
          <w:sz w:val="24"/>
        </w:rPr>
        <w:t xml:space="preserve">).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Designated Agent shall notify the Company of each sale of Placement Shares no later than the opening of trading on the Trading Day immediately following the Trading Day that the Designated Agent sold Placement Shares hereunder. The amount of proceeds to be delivered to the Company on a Settlement Date against receipt of the Placement Shares sold (the “</w:t>
      </w:r>
      <w:r>
        <w:rPr>
          <w:rFonts w:ascii="Times New Roman" w:hAnsi="Times New Roman"/>
          <w:b/>
          <w:color w:val="000000"/>
          <w:sz w:val="24"/>
          <w:u w:val="single"/>
        </w:rPr>
        <w:t>Net Proceeds</w:t>
      </w:r>
      <w:r>
        <w:rPr>
          <w:color w:val="000000"/>
        </w:rPr>
        <w:t>”</w:t>
      </w:r>
      <w:r>
        <w:rPr>
          <w:rFonts w:ascii="Times New Roman" w:hAnsi="Times New Roman"/>
          <w:color w:val="000000"/>
          <w:sz w:val="24"/>
        </w:rPr>
        <w:t xml:space="preserve">) will be equal to the aggregate sales price received by the relevant Agent, after deduction for (i) the Designated Agent’s commission, discount or other compensation for such sales payable by the Company pursuant to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hereof, and (ii) any transaction fees imposed by any Governmental Authority in respect of such sales.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Delivery of Placement Shares</w:t>
      </w:r>
      <w:r>
        <w:rPr>
          <w:rFonts w:ascii="Times New Roman" w:hAnsi="Times New Roman"/>
          <w:color w:val="000000"/>
          <w:sz w:val="24"/>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on or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hAnsi="Times New Roman"/>
          <w:color w:val="000000"/>
          <w:sz w:val="24"/>
          <w:u w:val="single"/>
        </w:rPr>
        <w:t>Section 10(a)</w:t>
      </w:r>
      <w:r>
        <w:rPr>
          <w:color w:val="000000"/>
        </w:rPr>
        <w:t xml:space="preserve"> </w:t>
      </w:r>
      <w:r>
        <w:rPr>
          <w:rFonts w:ascii="Times New Roman" w:hAnsi="Times New Roman"/>
          <w:color w:val="000000"/>
          <w:sz w:val="24"/>
        </w:rPr>
        <w:t>hereto, it will (i) hold the Designated Agent harmless against any loss, claim, damage, or expense (including reasonable and documented legal fees and expenses), as incurred, arising out of or in connection with such default by the Company or its transfer agent (if applicable) through no fault of the Designated Agent and (ii) pay to the Designated Agent (without duplication) any commission, discount, or other compensation to which it would otherwise have been entitled absent such default. The parties hereto acknowledge and agree that, in performing their respective obligations under this Agreement, the Agents may borrow shares of Common Stock from stock lenders in the event that the Company has not delivered Placement Shares to settle sales as required hereunder, and may use the Placement Shares to settle or close out such borrowings.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Limitations on Offering Size</w:t>
      </w:r>
      <w:r>
        <w:rPr>
          <w:rFonts w:ascii="Times New Roman" w:hAnsi="Times New Roman"/>
          <w:i/>
          <w:color w:val="000000"/>
          <w:sz w:val="24"/>
        </w:rPr>
        <w:t xml:space="preserve">. </w:t>
      </w:r>
      <w:r>
        <w:rPr>
          <w:rFonts w:ascii="Times New Roman" w:hAnsi="Times New Roman"/>
          <w:color w:val="000000"/>
          <w:sz w:val="24"/>
        </w:rPr>
        <w:t xml:space="preserve">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Agents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Agents in writing. Further, under no circumstances shall the Company cause or permit the aggregate offering amount of Placement Shares sold pursuant to this Agreement to exceed the Maximum Amount.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The Company represents and warrants to, and agrees with each of the Agents that as of the date of this Agreement and as of each Applicable Time (as defined below), unless such representation, warranty or agreement specifies a different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Registration Statement and Prospectus</w:t>
      </w:r>
      <w:r>
        <w:rPr>
          <w:rFonts w:ascii="Times New Roman" w:hAnsi="Times New Roman"/>
          <w:color w:val="000000"/>
          <w:sz w:val="24"/>
        </w:rPr>
        <w:t>. The Company meets the requirements for use of Form S-3 under the Securities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has been or will be declared effective by the Commission under the Securities Act prior to the issuance of any Placement Notices by the Company. The Prospectus will name the Agents as the agents in the section entitled “Plan of Distribution.” At the time the Registration Statement becomes effective and at the time the Company’s most recent annual report on Form 10-K was filed with the Commission, if later, the Company was, or will be, a “well known seasoned issuer” as defined in Rule 405 under the Securities Act. The Registration Statement is an “automatic shelf registration statement,” as defined in Rule 405 under the Securities Act, and will become effective upon filing. The Company has not received, and has no notice of, any order of the Commission preventing or suspending the use of the Registration Statement, objecting to the Company’s use of the automatic shelf registration form,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Agents have consented, any such consent not to be unreasonably withheld, conditioned or delayed. The Common Stock is registered pursuant to Section 12(b) of the Exchange Act and is currently listed on the Exchange under the trading symbol “TEM.”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Misstatement or Omission</w:t>
      </w:r>
      <w:r>
        <w:rPr>
          <w:rFonts w:ascii="Times New Roman" w:hAnsi="Times New Roman"/>
          <w:color w:val="000000"/>
          <w:sz w:val="24"/>
        </w:rPr>
        <w:t xml:space="preserve">.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Agents in writing specifically for use in the preparation thereof, it being understood and agreed that the only such information furnished by the Agents to the Company consists of “Agent Information” as defined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Conformity with the Securities Act and Exchange Act</w:t>
      </w:r>
      <w:r>
        <w:rPr>
          <w:rFonts w:ascii="Times New Roman" w:hAnsi="Times New Roman"/>
          <w:color w:val="000000"/>
          <w:sz w:val="24"/>
        </w:rPr>
        <w:t>. The Company is not an “ineligible issuer” in connection with the offering of Placement Shares pursuant to Rules 164, 405 and 433 under the Securities Act.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Conformity with EDGAR Filing</w:t>
      </w:r>
      <w:r>
        <w:rPr>
          <w:rFonts w:ascii="Times New Roman" w:hAnsi="Times New Roman"/>
          <w:color w:val="000000"/>
          <w:sz w:val="24"/>
        </w:rPr>
        <w:t>. The Prospectus delivered to the Agents for use in connection with the sale of the Placement Shares pursuant to this Agreement will be identical to the versions of the Prospectus created to be transmitted to the Commission for filing via EDGAR, except to the extent permitted by Regulation S</w:t>
        <w:noBreakHyphen/>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Organization</w:t>
      </w:r>
      <w:r>
        <w:rPr>
          <w:rFonts w:ascii="Times New Roman" w:hAnsi="Times New Roman"/>
          <w:color w:val="000000"/>
          <w:sz w:val="24"/>
        </w:rPr>
        <w:t>.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and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reasonably be expected to have a material adverse effect on the Company and its subsidiaries, taken as a whole.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Each subsidiary (for the avoidance of doubt, all references in this Agreement to a “subsidiary” of the Company refers to a subsidiary of the Company that is required to be consolidated with the Company in the Company’s audited consolidated financial statements in accordance with generally accepted accounting principles in the United States (“</w:t>
      </w:r>
      <w:r>
        <w:rPr>
          <w:rFonts w:ascii="Times New Roman" w:hAnsi="Times New Roman"/>
          <w:b/>
          <w:color w:val="000000"/>
          <w:sz w:val="24"/>
          <w:u w:val="single"/>
        </w:rPr>
        <w:t>U.S. GAAP</w:t>
      </w:r>
      <w:r>
        <w:rPr>
          <w:color w:val="000000"/>
        </w:rPr>
        <w:t>”</w:t>
      </w:r>
      <w:r>
        <w:rPr>
          <w:rFonts w:ascii="Times New Roman" w:hAnsi="Times New Roman"/>
          <w:color w:val="000000"/>
          <w:sz w:val="24"/>
        </w:rPr>
        <w:t>)) of the Company has been duly incorporated, organized or formed, is validly existing as a corporation or other business entity in good standing under the laws of the jurisdiction of its incorporation, organization or formation (to the extent that such concepts are applicable in such jurisdiction), has the corporate or other business entity power and authority to own or lease its property and to conduct its business as described in each of the Registration Statement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reasonably be expected to have a material adverse effect on the Company and its subsidiaries, taken as a whole; all of the issued and outstanding shares of capital stock or other equity interests of each subsidiary of the Company have been duly and validly authorized and issued, are fully paid and non-assessable (to the extent such concepts are applicable in such jurisdiction) and, to the extent directly or indirectly owned by the Company, are owned free and clear of all liens, encumbrances, equities or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Authorization of Agreement</w:t>
      </w:r>
      <w:r>
        <w:rPr>
          <w:rFonts w:ascii="Times New Roman" w:hAnsi="Times New Roman"/>
          <w:color w:val="000000"/>
          <w:sz w:val="24"/>
        </w:rPr>
        <w:t>. This Agreement has been duly authorized, executed and delivered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The authorized capital stock of the Company conforms as to legal matters to the description thereof contained in each of the Registration Statement and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Authorization of Common Stock</w:t>
      </w:r>
      <w:r>
        <w:rPr>
          <w:rFonts w:ascii="Times New Roman" w:hAnsi="Times New Roman"/>
          <w:color w:val="000000"/>
          <w:sz w:val="24"/>
        </w:rPr>
        <w:t>. The shares of Common Stock outstanding prior to the issuance of the Placement Shares have been duly authorized and are validly issued, fully paid and non-assessable.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Authorization of Placement Shares</w:t>
      </w:r>
      <w:r>
        <w:rPr>
          <w:rFonts w:ascii="Times New Roman" w:hAnsi="Times New Roman"/>
          <w:color w:val="000000"/>
          <w:sz w:val="24"/>
        </w:rPr>
        <w:t>. The Placement Shares have been duly authorized and, when issued, delivered and paid for in accordance with the terms of this Agreement, will be validly issued, fully paid and non-assessable, and the issuance of the Placement Shares will not be subject to any preemptive or similar rights that have not been validly waived.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Violation or Default; No Consents Required. The execution and delivery by the Company of, and the performance by the Company of its obligations under, this Agreement will not contravene any provision of (i) applicable law, (ii) the articles of incorporation or amended and restated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as would not, singly or in the aggregate, reasonably be expected to have a material adverse effect on the Company and its subsidiaries, taken as a whole; and no consent, approval, authorization or order of, or qualification with, any governmental body, agency or court is required for the entry into, nor performance by the Company of its obligations under this Agreement, except such as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been obtained or waived or as may be required by the securities or Blue Sky laws of the various states or the rules and regulations of the Financial Industry Regulatory Authority (“FINRA”) or the Exchange in connection with the sale of the Placement Shares by the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Absence of Material Adverse Change</w:t>
      </w:r>
      <w:r>
        <w:rPr>
          <w:rFonts w:ascii="Times New Roman" w:hAnsi="Times New Roman"/>
          <w:color w:val="000000"/>
          <w:sz w:val="24"/>
        </w:rPr>
        <w:t>.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No Litigation</w:t>
      </w:r>
      <w:r>
        <w:rPr>
          <w:rFonts w:ascii="Times New Roman" w:hAnsi="Times New Roman"/>
          <w:color w:val="000000"/>
          <w:sz w:val="24"/>
        </w:rPr>
        <w:t>.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or the Prospectus or (ii) that are required to be described in the Registration Statement, or the Prospectus and are not so described in all material respects; and there are no statutes, regulations, contracts or other documents to which the Company or its subsidiaries are subject or bound that are required to be described in the Registration Statement or the Prospectus or to be filed as exhibits to the Registration Statement that are not described in all material respects or filed as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 (the “</w:t>
      </w:r>
      <w:r>
        <w:rPr>
          <w:rFonts w:ascii="Times New Roman" w:hAnsi="Times New Roman"/>
          <w:b/>
          <w:color w:val="000000"/>
          <w:sz w:val="24"/>
          <w:u w:val="single"/>
        </w:rPr>
        <w:t>Investment Company Act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Environmental Laws</w:t>
      </w:r>
      <w:r>
        <w:rPr>
          <w:rFonts w:ascii="Times New Roman" w:hAnsi="Times New Roman"/>
          <w:color w:val="000000"/>
          <w:sz w:val="24"/>
        </w:rPr>
        <w:t>. The Company and its subsidiaries, taken as a whole, (i) are in compliance with any and all applicable foreign, federal, state and local laws and regulations relating to the protection of human health and safety, the environment or hazardous or toxic substances or wastes, pollutants or contaminants (collectively, “</w:t>
      </w:r>
      <w:r>
        <w:rPr>
          <w:rFonts w:ascii="Times New Roman" w:hAnsi="Times New Roman"/>
          <w:b/>
          <w:color w:val="000000"/>
          <w:sz w:val="24"/>
          <w:u w:val="single"/>
        </w:rPr>
        <w:t>Environmental Laws</w:t>
      </w:r>
      <w:r>
        <w:rPr>
          <w:color w:val="000000"/>
        </w:rPr>
        <w:t>”</w:t>
      </w:r>
      <w:r>
        <w:rPr>
          <w:rFonts w:ascii="Times New Roman" w:hAnsi="Times New Roman"/>
          <w:color w:val="000000"/>
          <w:sz w:val="24"/>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No Material Environmental Liabilities</w:t>
      </w:r>
      <w:r>
        <w:rPr>
          <w:rFonts w:ascii="Times New Roman" w:hAnsi="Times New Roman"/>
          <w:color w:val="000000"/>
          <w:sz w:val="24"/>
        </w:rPr>
        <w: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No Preferential Rights</w:t>
      </w:r>
      <w:r>
        <w:rPr>
          <w:rFonts w:ascii="Times New Roman" w:hAnsi="Times New Roman"/>
          <w:color w:val="000000"/>
          <w:sz w:val="24"/>
        </w:rPr>
        <w:t>. Except as have been waived or complied with in connection with the issuance and sale of the Placement Shares contemplated hereby or as described in each of the Registration Statement and the Prospectus, (i) no person, as such term is defined in Rule 1</w:t>
        <w:noBreakHyphen/>
        <w:t>02 of Regulation S</w:t>
        <w:noBreakHyphen/>
        <w:t>X promulgated under the Securities Act (each, a “</w:t>
      </w:r>
      <w:r>
        <w:rPr>
          <w:rFonts w:ascii="Times New Roman" w:hAnsi="Times New Roman"/>
          <w:b/>
          <w:color w:val="000000"/>
          <w:sz w:val="24"/>
          <w:u w:val="single"/>
        </w:rPr>
        <w:t>Person</w:t>
      </w:r>
      <w:r>
        <w:rPr>
          <w:color w:val="000000"/>
        </w:rPr>
        <w:t>”</w:t>
      </w:r>
      <w:r>
        <w:rPr>
          <w:rFonts w:ascii="Times New Roman" w:hAnsi="Times New Roman"/>
          <w:color w:val="000000"/>
          <w:sz w:val="24"/>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Common Stock, and (iv)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Margin Rules</w:t>
      </w:r>
      <w:r>
        <w:rPr>
          <w:rFonts w:ascii="Times New Roman" w:hAnsi="Times New Roman"/>
          <w:color w:val="000000"/>
          <w:sz w:val="24"/>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No Improper Practices</w:t>
      </w:r>
      <w:r>
        <w:rPr>
          <w:rFonts w:ascii="Times New Roman" w:hAnsi="Times New Roman"/>
          <w:color w:val="000000"/>
          <w:sz w:val="24"/>
        </w:rPr>
        <w:t>. (i) None of the Company or any of its subsidiaries or Controlled Affiliates, or any director or officer thereof, or, to the Company’s knowledge, any employee, agent or representative while acting on behalf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color w:val="000000"/>
          <w:sz w:val="24"/>
        </w:rPr>
        <w:t>Government Official</w:t>
      </w:r>
      <w:r>
        <w:rPr>
          <w:color w:val="000000"/>
        </w:rPr>
        <w:t>”</w:t>
      </w:r>
      <w:r>
        <w:rPr>
          <w:rFonts w:ascii="Times New Roman" w:hAnsi="Times New Roman"/>
          <w:color w:val="000000"/>
          <w:sz w:val="24"/>
        </w:rPr>
        <w:t>) in order to influence official action, or to otherwise secure an improper advantage, or to any person in violation of (a) the U.S. Foreign Corrupt Practices Act of 1977, (b) the UK Bribery Act 2010, or (c) any other applicable anti-corruption law, regulation, order, decree or directive having the force of law and relating to bribery or corruption (collectively, the “</w:t>
      </w:r>
      <w:r>
        <w:rPr>
          <w:rFonts w:ascii="Times New Roman" w:hAnsi="Times New Roman"/>
          <w:b/>
          <w:color w:val="000000"/>
          <w:sz w:val="24"/>
        </w:rPr>
        <w:t>Anti-Corruption Laws</w:t>
      </w:r>
      <w:r>
        <w:rPr>
          <w:color w:val="000000"/>
        </w:rPr>
        <w:t>”</w:t>
      </w:r>
      <w:r>
        <w:rPr>
          <w:rFonts w:ascii="Times New Roman" w:hAnsi="Times New Roman"/>
          <w:color w:val="000000"/>
          <w:sz w:val="24"/>
        </w:rPr>
        <w:t>);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Anti-Corruption Laws. A “</w:t>
      </w:r>
      <w:r>
        <w:rPr>
          <w:rFonts w:ascii="Times New Roman" w:hAnsi="Times New Roman"/>
          <w:b/>
          <w:color w:val="000000"/>
          <w:sz w:val="24"/>
        </w:rPr>
        <w:t>Controlled Affiliate</w:t>
      </w:r>
      <w:r>
        <w:rPr>
          <w:color w:val="000000"/>
        </w:rPr>
        <w:t xml:space="preserve">” </w:t>
      </w:r>
      <w:r>
        <w:rPr>
          <w:rFonts w:ascii="Times New Roman" w:hAnsi="Times New Roman"/>
          <w:color w:val="000000"/>
          <w:sz w:val="24"/>
        </w:rPr>
        <w:t>means any entity controlled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Compliance with Anti-Money Laundering Laws</w:t>
      </w:r>
      <w:r>
        <w:rPr>
          <w:rFonts w:ascii="Times New Roman" w:hAnsi="Times New Roman"/>
          <w:color w:val="000000"/>
          <w:sz w:val="24"/>
        </w:rPr>
        <w:t xml:space="preserve">. The operations of the Company and each of its subsidiaries are and have been conducted at all times in material compliance with all applicable financial recordkeeping and reporting requirements, including to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extent applicable those of the Bank Secrecy Act, as amended by Title III of the Uniting and Strengthening America by Providing Appropriate Tools Required to Intercept and Obstruct Terrorism Act of 2001 (USA PATRIOT Act), and with the applicable anti-money laundering statutes of jurisdictions where the Company and each of its subsidiaries conduct business, including the Bank Secrecy Act of 1970, applicable provisions of the USA PATRIOT Act of 2001, the Money Laundering Control Act of 1986, and the Anti-Money Laundering Act of 2020, the rules and regulations thereunder and any related or similar rules, regulations or guidelines, issued, administered or enforced by any Governmental Authority having jurisdiction over the Company or any of its subsidiaries (collectively, the “</w:t>
      </w:r>
      <w:r>
        <w:rPr>
          <w:rFonts w:ascii="Times New Roman" w:hAnsi="Times New Roman"/>
          <w:b/>
          <w:color w:val="000000"/>
          <w:sz w:val="24"/>
        </w:rPr>
        <w:t>Anti-Money Laundering Laws</w:t>
      </w:r>
      <w:r>
        <w:rPr>
          <w:color w:val="000000"/>
        </w:rPr>
        <w:t>”</w:t>
      </w:r>
      <w:r>
        <w:rPr>
          <w:rFonts w:ascii="Times New Roman" w:hAnsi="Times New Roman"/>
          <w:color w:val="000000"/>
          <w:sz w:val="24"/>
        </w:rPr>
        <w:t>), and no action, suit or proceeding by or before any court or Governmental Authority or any arbitrator involving the Company or any of its subsidiaries with respect to the Anti-Money Laundering Laws is pending or, to the best knowledge of the Company, threatened.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Compliance with Sanctions</w:t>
      </w:r>
      <w:r>
        <w:rPr>
          <w:rFonts w:ascii="Times New Roman" w:hAnsi="Times New Roman"/>
          <w:color w:val="000000"/>
          <w:sz w:val="24"/>
        </w:rPr>
        <w:t>. (i) None of the Company, any of its subsidiaries, or any director or officer thereof, or, to the Company’s knowledge, any employee, agent, affiliate or representative of the Company or any of its subsidiaries, is a Person that is, or is owned or controlled by one or more Persons that are:</w:t>
      </w:r>
    </w:p>
    <w:p>
      <w:pPr>
        <w:pStyle w:val="TextBody"/>
        <w:bidi w:val="0"/>
        <w:spacing w:before="0" w:after="240"/>
        <w:jc w:val="both"/>
        <w:rPr>
          <w:rFonts w:ascii="Times New Roman" w:hAnsi="Times New Roman"/>
          <w:sz w:val="20"/>
        </w:rPr>
      </w:pPr>
      <w:r>
        <w:rPr>
          <w:rFonts w:ascii="Times New Roman" w:hAnsi="Times New Roman"/>
          <w:color w:val="000000"/>
          <w:sz w:val="24"/>
        </w:rPr>
        <w:t>(A) the subject of any sanctions administered or enforced by the U.S. Department of the Treasury’s Office of Foreign Assets Control , the United Nations Security Council, the European Union, His Majesty’s Treasury, or other relevant sanctions authority (collectively, “</w:t>
      </w:r>
      <w:r>
        <w:rPr>
          <w:rFonts w:ascii="Times New Roman" w:hAnsi="Times New Roman"/>
          <w:b/>
          <w:color w:val="000000"/>
          <w:sz w:val="24"/>
          <w:u w:val="single"/>
        </w:rPr>
        <w:t>Sanctions</w:t>
      </w:r>
      <w:r>
        <w:rPr>
          <w:rFonts w:ascii="Times New Roman" w:hAnsi="Times New Roman"/>
          <w:color w:val="000000"/>
          <w:sz w:val="20"/>
        </w:rPr>
        <w:t>”</w:t>
      </w:r>
      <w:r>
        <w:rPr>
          <w:rFonts w:ascii="Times New Roman" w:hAnsi="Times New Roman"/>
          <w:color w:val="000000"/>
          <w:sz w:val="24"/>
        </w:rPr>
        <w: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located, organized or resident in a country or territory that is the subject of Sanctions (including, without limitation, the so-called Donetsk People’s Republic, the so-called Luhansk People’s Republic or any other Covered Region of Ukraine identified pursuant to Executive Order 14065, the Crimea region of Ukraine, non-government controlled areas of the Kherson and Zaporizhzhia regions of Ukraine, Cuba, Iran, North Korea and Syria).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Company will not, directly or indirectly, use the proceeds of the offering, or lend, contribute or otherwise make available such proceeds to any subsidiary, joint venture partner or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fund or facilitate any activities or business of or with any Person or in any country or territory that, at the time of such funding or facilitation, is, or whose government is, the subject of Sanctions;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any other manner that will cause or result in a violation of Sanctions by any Person (including any Person participating in the offering, whether as principal, sales agent, underwriter, advisor, investor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or whose government is or was, the subject of Sanctions.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Absence of Subsequent Events</w:t>
      </w:r>
      <w:r>
        <w:rPr>
          <w:rFonts w:ascii="Times New Roman" w:hAnsi="Times New Roman"/>
          <w:color w:val="000000"/>
          <w:sz w:val="24"/>
        </w:rPr>
        <w:t>. Subsequent to the respective dates as of which information is given in each of the Registration Statement and the Prospectus, (i) the Company and its subsidiaries, taken as a whole, have not incurred any material liability or obligation, direct or contingent, nor entered into any material transaction; (ii) the Company has not purchased any of its outstanding capital stock (other than through the exercise or settlement of equity awards or grants of equity awards or forfeiture of equity awards outstanding as of such respective dates as of which information is given in each of the Registration Statement and the Prospectus, in each case granted pursuant to the equity compensation plans described in each of the Registration Statement and the Prospectus), nor declared, paid or otherwise made any dividend or distribution of any kind on its capital stock (other than ordinary and customary dividends and such other dividends or distributions disclosed in each of the Registration Statement and the Prospectus); and (iii) there has not been any material change in the capital stock, short term debt or long term debt of the Company and its subsidiaries, taken as a whole, except in each case as described in each of the Registration Statement and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u w:val="single"/>
        </w:rPr>
        <w:t>Title to Real and Personal Property</w:t>
      </w:r>
      <w:r>
        <w:rPr>
          <w:rFonts w:ascii="Times New Roman" w:hAnsi="Times New Roman"/>
          <w:color w:val="000000"/>
          <w:sz w:val="24"/>
        </w:rPr>
        <w:t>. The Company and its subsidiaries do not own any real property. The Company and each of its subsidiaries have good and marketable title to all personal property owned by them which is material to the business of the Company and its subsidiaries, taken as a whole,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in each case except as described in each of the Registration Statement and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Except as would not, singly or in the aggregate, reasonably be expected to have a material adverse effect on the Company and its subsidiaries, taken as a whole, (i) the Company and its subsidiaries own or have a valid license to all patents, inventions, copyrights, know how (including trade secrets and other unpatented and/or unpatentable proprietary or confidential information, systems or procedures), trademarks, service marks, trade names and other intellectual property rights (including all registrations and applications for registration of, and all goodwill associated with, any of the foregoing) (collectively, “</w:t>
      </w:r>
      <w:r>
        <w:rPr>
          <w:rFonts w:ascii="Times New Roman" w:hAnsi="Times New Roman"/>
          <w:b/>
          <w:color w:val="000000"/>
          <w:sz w:val="24"/>
          <w:u w:val="single"/>
        </w:rPr>
        <w:t>Intellectual Property Rights</w:t>
      </w:r>
      <w:r>
        <w:rPr>
          <w:color w:val="000000"/>
        </w:rPr>
        <w:t>”</w:t>
      </w:r>
      <w:r>
        <w:rPr>
          <w:rFonts w:ascii="Times New Roman" w:hAnsi="Times New Roman"/>
          <w:color w:val="000000"/>
          <w:sz w:val="24"/>
        </w:rPr>
        <w:t>) used in or reasonably necessary for or material to the conduct of their businesses</w:t>
      </w:r>
      <w:r>
        <w:rPr>
          <w:color w:val="0000FF"/>
        </w:rPr>
        <w:t xml:space="preserve"> </w:t>
      </w:r>
      <w:r>
        <w:rPr>
          <w:rFonts w:ascii="Times New Roman" w:hAnsi="Times New Roman"/>
          <w:color w:val="000000"/>
          <w:sz w:val="24"/>
        </w:rPr>
        <w:t xml:space="preserve">as now conducted by them, and as proposed to be conducted in the Registration Statement and the Prospectus; (ii) the Company or its subsidiaries, as applicable, exclusively owns all right, title and interest in and to all the Intellectual Property Rights owned by or registered in the name of the Company or its subsidiaries; (iii) Intellectual Property Rights owned by or registered in the name of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or any rights of the Company or any of its subsidiaries in, any such Intellectual Property Rights; (iv) except as set forth in the Registration Statement and the Prospectus, neither the Company nor any of its subsidiaries has received any notice alleging any infringement, misappropriation or other violation of Intellectual Property Rights which, singly or in the aggregate, if the subject of an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unfavorable decision, ruling or finding, would have a material adverse effect on the Company and its subsidiaries, taken as a whole and there is no pending or, to the knowledge of the Company and its subsidiaries, threatened action, suit, proceeding or claim by others that the Company or its subsidiaries infringe, misappropriate or otherwise violate any Intellectual Property Rights; (v) to the Company’s knowledge, no third party is infringing, misappropriating or otherwise violating, or has infringed, misappropriated or otherwise violated, any Intellectual Property Rights owned or controlled by the Company or any of its subsidiaries; (vi) to the Company’s knowledge, neither the Company nor any of its subsidiaries infringes, misappropriates or otherwise violates, or has infringed, misappropriated or otherwise violated, any Intellectual Property Rights;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(viii) the Company and its subsidiaries use, and have used, commercially reasonable efforts in accordance with customary industry practice to appropriately maintain the confidentiality of all information intended to be maintained as a trade secret, including by executing appropriate non-disclosure, confidentiality and assignment invention agreements with each of its employees and relevant consultants, and, to the knowledge of the Company and its subsidiaries, no such agreement has been breached or violated; and (ix) each of the Company and its subsidiaries and, to the knowledge of the Company and its subsidiaries, all counterparties to any contracts pursuant to which any Intellectual Property Rights are licensed to the Company or any of its subsidiaries are in material compliance with all such contracts and all such contracts are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rFonts w:ascii="Times New Roman" w:hAnsi="Times New Roman"/>
          <w:color w:val="000000"/>
          <w:sz w:val="24"/>
          <w:u w:val="single"/>
        </w:rPr>
        <w:t>Use of Open Source Software</w:t>
      </w:r>
      <w:r>
        <w:rPr>
          <w:rFonts w:ascii="Times New Roman" w:hAnsi="Times New Roman"/>
          <w:color w:val="000000"/>
          <w:sz w:val="24"/>
        </w:rPr>
        <w:t>.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hAnsi="Times New Roman"/>
          <w:b/>
          <w:color w:val="000000"/>
          <w:sz w:val="24"/>
        </w:rPr>
        <w:t>Open Source Software</w:t>
      </w:r>
      <w:r>
        <w:rPr>
          <w:color w:val="000000"/>
        </w:rPr>
        <w:t>”</w:t>
      </w:r>
      <w:r>
        <w:rPr>
          <w:rFonts w:ascii="Times New Roman" w:hAnsi="Times New Roman"/>
          <w:color w:val="000000"/>
          <w:sz w:val="24"/>
        </w:rPr>
        <w:t>) in compliance with all license terms applicable to such Open Source Software, except where the failure to comply would not, singly or in the aggregate, reasonably be expected to have a material adverse effect on the Company and its subsidiaries, taken as a whole;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as would not, singly or in the aggregate, have a material adverse effect on the Company and its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u w:val="single"/>
        </w:rPr>
        <w:t>Compliance with Data Privacy Laws</w:t>
      </w:r>
      <w:r>
        <w:rPr>
          <w:rFonts w:ascii="Times New Roman" w:hAnsi="Times New Roman"/>
          <w:color w:val="000000"/>
          <w:sz w:val="24"/>
        </w:rPr>
        <w:t xml:space="preserve">. (i) The Company and each of its subsidiaries have complied and are presently in compliance in all material respects with all internal and external privacy policies, contractual obligations, contractually mandated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confidential or regulated data (“</w:t>
      </w:r>
      <w:r>
        <w:rPr>
          <w:rFonts w:ascii="Times New Roman" w:hAnsi="Times New Roman"/>
          <w:b/>
          <w:color w:val="000000"/>
          <w:sz w:val="24"/>
          <w:u w:val="single"/>
        </w:rPr>
        <w:t>Data Security Obligations</w:t>
      </w:r>
      <w:r>
        <w:rPr>
          <w:color w:val="000000"/>
        </w:rPr>
        <w:t>”</w:t>
      </w:r>
      <w:r>
        <w:rPr>
          <w:rFonts w:ascii="Times New Roman" w:hAnsi="Times New Roman"/>
          <w:color w:val="000000"/>
          <w:sz w:val="24"/>
        </w:rPr>
        <w:t>, and such data, “</w:t>
      </w:r>
      <w:r>
        <w:rPr>
          <w:rFonts w:ascii="Times New Roman" w:hAnsi="Times New Roman"/>
          <w:b/>
          <w:color w:val="000000"/>
          <w:sz w:val="24"/>
          <w:u w:val="single"/>
        </w:rPr>
        <w:t>Data</w:t>
      </w:r>
      <w:r>
        <w:rPr>
          <w:color w:val="000000"/>
        </w:rPr>
        <w:t>”</w:t>
      </w:r>
      <w:r>
        <w:rPr>
          <w:rFonts w:ascii="Times New Roman" w:hAnsi="Times New Roman"/>
          <w:color w:val="000000"/>
          <w:sz w:val="24"/>
        </w:rPr>
        <w:t>); (ii) the Company and its subsidiaries have not received any notification of or complaint regarding and is unaware of any other facts that, singly or in the aggregate, would reasonably indicate non-compliance with any Data Security Obligation, except as would not, singly or in the aggregate, reasonably be expected to have a material adverse effect on the Company and its subsidiaries taken as a whole; and (iii) of there is no action, suit, proceeding, investigation or enforcement action by or before any court or Governmental Authority pending or threatened alleging non-compliance with any Data Security Obligation; (iv) each of the Company and its subsidiaries, as applicable, has provided notice of its privacy policy on its website, which policy contains accurate notice of its then-current privacy practices relating to its subject matter in all material respect and such privacy policies do not contain any material omissions of the Company’s or its subsidiaries’, as applicable, current privacy practices; and (v) except as would not, singly or in the aggregate, reasonably be expected to have a material adverse effect on the Company and its subsidiaries taken as a whole, the execution, delivery and performance of this Agreement or any other agreement referred to in this Agreement will not result in a breach or violation of any Data Security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rFonts w:ascii="Times New Roman" w:hAnsi="Times New Roman"/>
          <w:color w:val="000000"/>
          <w:sz w:val="24"/>
          <w:u w:val="single"/>
        </w:rPr>
        <w:t>Actively-Traded Security</w:t>
      </w:r>
      <w:r>
        <w:rPr>
          <w:rFonts w:ascii="Times New Roman" w:hAnsi="Times New Roman"/>
          <w:color w:val="000000"/>
          <w:sz w:val="24"/>
        </w:rPr>
        <w:t>. The Common Stock is an “actively-traded security” exempted from the requirements of Rule 101 of Regulation M under the 1934 Act by subsection (c)(1) of such rule.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rFonts w:ascii="Times New Roman" w:hAnsi="Times New Roman"/>
          <w:color w:val="000000"/>
          <w:sz w:val="24"/>
          <w:u w:val="single"/>
        </w:rPr>
        <w:t>Cybersecurity</w:t>
      </w:r>
      <w:r>
        <w:rPr>
          <w:rFonts w:ascii="Times New Roman" w:hAnsi="Times New Roman"/>
          <w:color w:val="000000"/>
          <w:sz w:val="24"/>
        </w:rPr>
        <w:t>. The Company and its subsidiaries’ information technology assets and equipment, computers, technology systems and other systems, networks, hardware, software, websites, applications, and databases (collectively, “</w:t>
      </w:r>
      <w:r>
        <w:rPr>
          <w:rFonts w:ascii="Times New Roman" w:hAnsi="Times New Roman"/>
          <w:b/>
          <w:color w:val="000000"/>
          <w:sz w:val="24"/>
        </w:rPr>
        <w:t>IT Systems</w:t>
      </w:r>
      <w:r>
        <w:rPr>
          <w:color w:val="000000"/>
        </w:rPr>
        <w:t>”</w:t>
      </w:r>
      <w:r>
        <w:rPr>
          <w:rFonts w:ascii="Times New Roman" w:hAnsi="Times New Roman"/>
          <w:color w:val="000000"/>
          <w:sz w:val="24"/>
        </w:rPr>
        <w:t>)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have taken, in all material respects, technical and organizational measures necessary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hAnsi="Times New Roman"/>
          <w:b/>
          <w:color w:val="000000"/>
          <w:sz w:val="24"/>
        </w:rPr>
        <w:t>Breach</w:t>
      </w:r>
      <w:r>
        <w:rPr>
          <w:color w:val="000000"/>
        </w:rPr>
        <w:t>”</w:t>
      </w:r>
      <w:r>
        <w:rPr>
          <w:rFonts w:ascii="Times New Roman" w:hAnsi="Times New Roman"/>
          <w:color w:val="000000"/>
          <w:sz w:val="24"/>
        </w:rPr>
        <w:t>)</w:t>
      </w:r>
      <w:r>
        <w:rPr>
          <w:color w:val="0000FF"/>
        </w:rPr>
        <w:t xml:space="preserve"> </w:t>
      </w:r>
      <w:r>
        <w:rPr>
          <w:rFonts w:ascii="Times New Roman" w:hAnsi="Times New Roman"/>
          <w:color w:val="000000"/>
          <w:sz w:val="24"/>
        </w:rPr>
        <w:t>and to maintain the integrity, continuous operation, redundancy and security of all IT Systems and Data used in connection with the operation of the Company or its subsidiaries. Except as would not, singly or in the aggregate, reasonably be expected to have a material adverse effect on the Company and its subsidiaries taken as a whole, there has been no such Breach, and the Company and its subsidiaries have not been notified of and have no knowledge of any event or condition that would reasonably be expected to result in, any such Breach.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rFonts w:ascii="Times New Roman" w:hAnsi="Times New Roman"/>
          <w:color w:val="000000"/>
          <w:sz w:val="24"/>
          <w:u w:val="single"/>
        </w:rPr>
        <w:t>Labor Disputes</w:t>
      </w:r>
      <w:r>
        <w:rPr>
          <w:rFonts w:ascii="Times New Roman" w:hAnsi="Times New Roman"/>
          <w:color w:val="000000"/>
          <w:sz w:val="24"/>
        </w:rPr>
        <w:t xml:space="preserve">. Except as set forth in the Registration Statement and the Prospectus, no material labor dispute with the employees of the Company or any of its subsidiaries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exists, or, to the knowledge of the Company, is imminent; and the Company is not aware of any existing, threatened or imminent labor disturbance by the employees of any of its principal suppliers, manufacturers or contractors that would,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Company and each of its subsidiaries are insured by insurers of recognized financial responsibility against such losses and risks and in such amounts as are, in the reasonable judgment of the Company, prudent and customary in the businesses in which they are engaged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rFonts w:ascii="Times New Roman" w:hAnsi="Times New Roman"/>
          <w:color w:val="000000"/>
          <w:sz w:val="24"/>
          <w:u w:val="single"/>
        </w:rPr>
        <w:t>Consents and Permits</w:t>
      </w:r>
      <w:r>
        <w:rPr>
          <w:rFonts w:ascii="Times New Roman" w:hAnsi="Times New Roman"/>
          <w:color w:val="000000"/>
          <w:sz w:val="24"/>
        </w:rPr>
        <w:t>. The Company and each of its subsidiaries possess all licenses, certificates, clearances, exemptions, authorizations and permits issued by the appropriate federal, state or foreign regulatory authorities necessary to conduct their respective businesses as described in the Registration Statement and the Prospectus (“</w:t>
      </w:r>
      <w:r>
        <w:rPr>
          <w:rFonts w:ascii="Times New Roman" w:hAnsi="Times New Roman"/>
          <w:b/>
          <w:color w:val="000000"/>
          <w:sz w:val="24"/>
          <w:u w:val="single"/>
        </w:rPr>
        <w:t>Regulatory Authorizations</w:t>
      </w:r>
      <w:r>
        <w:rPr>
          <w:color w:val="000000"/>
        </w:rPr>
        <w:t>”</w:t>
      </w:r>
      <w:r>
        <w:rPr>
          <w:rFonts w:ascii="Times New Roman" w:hAnsi="Times New Roman"/>
          <w:color w:val="000000"/>
          <w:sz w:val="24"/>
        </w:rPr>
        <w:t>), including, without limitation, from the U.S. Food and Drug Administration (“</w:t>
      </w:r>
      <w:r>
        <w:rPr>
          <w:rFonts w:ascii="Times New Roman" w:hAnsi="Times New Roman"/>
          <w:b/>
          <w:color w:val="000000"/>
          <w:sz w:val="24"/>
          <w:u w:val="single"/>
        </w:rPr>
        <w:t>FDA</w:t>
      </w:r>
      <w:r>
        <w:rPr>
          <w:color w:val="000000"/>
        </w:rPr>
        <w:t>”</w:t>
      </w:r>
      <w:r>
        <w:rPr>
          <w:rFonts w:ascii="Times New Roman" w:hAnsi="Times New Roman"/>
          <w:color w:val="000000"/>
          <w:sz w:val="24"/>
        </w:rPr>
        <w:t>), the Department of Health and Human Services, the Centers for Medicare &amp; Medicaid Services, and equivalent foreign regulatory authorities (collectively, the “</w:t>
      </w:r>
      <w:r>
        <w:rPr>
          <w:rFonts w:ascii="Times New Roman" w:hAnsi="Times New Roman"/>
          <w:b/>
          <w:color w:val="000000"/>
          <w:sz w:val="24"/>
          <w:u w:val="single"/>
        </w:rPr>
        <w:t>Applicable Regulatory Authorities</w:t>
      </w:r>
      <w:r>
        <w:rPr>
          <w:color w:val="000000"/>
        </w:rPr>
        <w:t>”</w:t>
      </w:r>
      <w:r>
        <w:rPr>
          <w:rFonts w:ascii="Times New Roman" w:hAnsi="Times New Roman"/>
          <w:color w:val="000000"/>
          <w:sz w:val="24"/>
        </w:rPr>
        <w:t>), except where the failure to obtain such certificates, authorizations and permits would not, singly or in the aggregate, reasonably be expected to have a material adverse effect on the Company and its subsidiaries, taken as a whole, and, except as set forth in the Registration Statement and the Prospectus, neither the Company nor any of its subsidiaries has received (i) any FDA Form 483, written notice of adverse finding, warning letter, untitled letter or other written notice from any Regulatory Authority, court or arbitrator alleging or asserting non-compliance with any Health Care Laws or (ii) any notice of proceedings relating to the revocation or modification of any Regulatory Authorizations which, singly or in the aggregate, if the subject of an unfavorable decision, ruling or finding, would reasonably be expected to have a material adverse effect on the Company and its subsidiaries, taken as a whole. The term “</w:t>
      </w:r>
      <w:r>
        <w:rPr>
          <w:rFonts w:ascii="Times New Roman" w:hAnsi="Times New Roman"/>
          <w:b/>
          <w:color w:val="000000"/>
          <w:sz w:val="24"/>
          <w:u w:val="single"/>
        </w:rPr>
        <w:t>Health Care Laws</w:t>
      </w:r>
      <w:r>
        <w:rPr>
          <w:color w:val="000000"/>
        </w:rPr>
        <w:t xml:space="preserve">” </w:t>
      </w:r>
      <w:r>
        <w:rPr>
          <w:rFonts w:ascii="Times New Roman" w:hAnsi="Times New Roman"/>
          <w:color w:val="000000"/>
          <w:sz w:val="24"/>
        </w:rPr>
        <w:t>means Title XVIII of the Social Security Act, 42 U.S.C. §§ 1395-1395hhh (the Medicare statute); Title XIX of the Social Security Act, 42 U.S.C. §§ 1396-1396v (the Medicaid statute); Section 1877 of the Social Security Act (the Stark Law), 42 U.S.C. 1395(nn);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w:t>
      </w:r>
      <w:r>
        <w:rPr>
          <w:rFonts w:ascii="Times New Roman" w:hAnsi="Times New Roman"/>
          <w:b/>
          <w:color w:val="000000"/>
          <w:sz w:val="24"/>
          <w:u w:val="single"/>
        </w:rPr>
        <w:t>HIPAA</w:t>
      </w:r>
      <w:r>
        <w:rPr>
          <w:color w:val="000000"/>
        </w:rPr>
        <w:t>”</w:t>
      </w:r>
      <w:r>
        <w:rPr>
          <w:rFonts w:ascii="Times New Roman" w:hAnsi="Times New Roman"/>
          <w:color w:val="000000"/>
          <w:sz w:val="24"/>
        </w:rPr>
        <w:t>); the Civil Monetary Penalties Law, 42 U.S.C. §§ 1320a-7a and 1320a-7b; the Eliminating Kickbacks in Recovery Act of 2018, 18 U.S.C. § 200; the Physician Payments Sunshine Act, 42 U.S.C. § 1320a-7h; the Exclusion Statute, 42 U.S.C. § 1320a-7; HIPAA, as amended by the Health Information Technology for Economic and Clinical Health Act, 42 U.S.C. §§ 17921 et seq.; the Federal Food, Drug, and Cosmetic Act, 21 U.S.C. §§ 301 et seq.; the Public Health Service Act, 42 U.S.C. §§ 201 et seq.; the regulations promulgated pursuant to such laws; and any similar federal, state and local laws and regulations.</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rFonts w:ascii="Times New Roman" w:hAnsi="Times New Roman"/>
          <w:color w:val="000000"/>
          <w:sz w:val="24"/>
          <w:u w:val="single"/>
        </w:rPr>
        <w:t>Financial Information</w:t>
      </w:r>
      <w:r>
        <w:rPr>
          <w:rFonts w:ascii="Times New Roman" w:hAnsi="Times New Roman"/>
          <w:color w:val="000000"/>
          <w:sz w:val="24"/>
        </w:rPr>
        <w:t>. The consolidated financial statements included or incorporated by reference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consolidated subsidiaries as of the dates shown and its results of operations and cash flows for the periods shown, and such financial statements have been prepared in conformity with U.S. GAAP applied on a consistent basis throughout the periods covered thereby except for any normal year-end adjustments in the Company’s quarterly financial statements. The summary consolidated financial data included or incorporated by reference in each of the Registration Statement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rFonts w:ascii="Times New Roman" w:hAnsi="Times New Roman"/>
          <w:color w:val="000000"/>
          <w:sz w:val="24"/>
          <w:u w:val="single"/>
        </w:rPr>
        <w:t>Independent Public Accounting Firm</w:t>
      </w:r>
      <w:r>
        <w:rPr>
          <w:rFonts w:ascii="Times New Roman" w:hAnsi="Times New Roman"/>
          <w:color w:val="000000"/>
          <w:sz w:val="24"/>
        </w:rPr>
        <w:t>. PricewaterhouseCoopers LLP, who have certified certain financial statements of the Company</w:t>
      </w:r>
      <w:r>
        <w:rPr>
          <w:color w:val="1F497D"/>
        </w:rPr>
        <w:t xml:space="preserve"> </w:t>
      </w:r>
      <w:r>
        <w:rPr>
          <w:rFonts w:ascii="Times New Roman" w:hAnsi="Times New Roman"/>
          <w:color w:val="000000"/>
          <w:sz w:val="24"/>
        </w:rPr>
        <w:t>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Accounting Controls</w:t>
      </w:r>
      <w:r>
        <w:rPr>
          <w:rFonts w:ascii="Times New Roman" w:hAnsi="Times New Roman"/>
          <w:color w:val="000000"/>
          <w:sz w:val="24"/>
        </w:rPr>
        <w:t>. The Company and its subsidiaries, taken as a whole, maintain a system of internal accounting controls sufficient to comply with the requirements of the Exchange Act and have been designed by, or under the supervision of, their respective principal executive and principal financial officers, or persons performing similar functions, to provide reasonable assurance that (i)</w:t>
      </w:r>
      <w:r>
        <w:rPr>
          <w:color w:val="000000"/>
        </w:rPr>
        <w:t xml:space="preserve"> </w:t>
      </w:r>
      <w:r>
        <w:rPr>
          <w:rFonts w:ascii="Times New Roman" w:hAnsi="Times New Roman"/>
          <w:color w:val="000000"/>
          <w:sz w:val="24"/>
        </w:rPr>
        <w:t>transactions are executed in accordance with management’s general or specific authorizations; (ii)</w:t>
      </w:r>
      <w:r>
        <w:rPr>
          <w:color w:val="000000"/>
        </w:rPr>
        <w:t xml:space="preserve"> </w:t>
      </w:r>
      <w:r>
        <w:rPr>
          <w:rFonts w:ascii="Times New Roman" w:hAnsi="Times New Roman"/>
          <w:color w:val="000000"/>
          <w:sz w:val="24"/>
        </w:rPr>
        <w:t>transactions are recorded as necessary to permit preparation of financial statements in conformity with U.S. GAAP and to maintain asset accountability; (iii)</w:t>
      </w:r>
      <w:r>
        <w:rPr>
          <w:color w:val="000000"/>
        </w:rPr>
        <w:t xml:space="preserve"> </w:t>
      </w:r>
      <w:r>
        <w:rPr>
          <w:rFonts w:ascii="Times New Roman" w:hAnsi="Times New Roman"/>
          <w:color w:val="000000"/>
          <w:sz w:val="24"/>
        </w:rPr>
        <w:t>access to assets is permitted only in accordance with management’s general or specific authorization; (iv)</w:t>
      </w:r>
      <w:r>
        <w:rPr>
          <w:color w:val="000000"/>
        </w:rPr>
        <w:t xml:space="preserve"> </w:t>
      </w:r>
      <w:r>
        <w:rPr>
          <w:rFonts w:ascii="Times New Roman" w:hAnsi="Times New Roman"/>
          <w:color w:val="000000"/>
          <w:sz w:val="24"/>
        </w:rPr>
        <w:t>the recorded accountability for assets is compared with the existing assets at reasonable intervals and appropriate action is taken with respect to any differences; and (v)</w:t>
      </w:r>
      <w:r>
        <w:rPr>
          <w:color w:val="000000"/>
        </w:rPr>
        <w:t xml:space="preserve"> </w:t>
      </w:r>
      <w:r>
        <w:rPr>
          <w:rFonts w:ascii="Times New Roman" w:hAnsi="Times New Roman"/>
          <w:color w:val="000000"/>
          <w:sz w:val="24"/>
        </w:rPr>
        <w:t>the interactive data in eXtensible Business Reporting Language included or incorporated by reference in the Registration Statement or the Prospectus is accurate. Since the end of the Company’s most recent audited fiscal year, there has been (i)</w:t>
      </w:r>
      <w:r>
        <w:rPr>
          <w:color w:val="000000"/>
        </w:rPr>
        <w:t xml:space="preserve"> </w:t>
      </w:r>
      <w:r>
        <w:rPr>
          <w:rFonts w:ascii="Times New Roman" w:hAnsi="Times New Roman"/>
          <w:color w:val="000000"/>
          <w:sz w:val="24"/>
        </w:rPr>
        <w:t>no material weakness in the Company’s internal control over financial reporting as defined in Rule 13(a) - 15(f) under the Exchange Act (whether or not remediated) and (ii) no change in the Company’s internal control over financial reporting that has materially affected, or is reasonably likely to materially affect, the Company’s internal control over financial reporting, in each case except as described in each of the Registration Statement and the Prospectus.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xml:space="preserve">. The Company and each of its subsidiaries have filed all federal, state, local and foreign tax returns required to be filed by them through the date of this Agreement or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has not been fully paid or otherwise resolved or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pPr>
      <w:r>
        <w:rPr>
          <w:rFonts w:ascii="Times New Roman" w:hAnsi="Times New Roman"/>
          <w:color w:val="000000"/>
          <w:sz w:val="24"/>
          <w:u w:val="single"/>
        </w:rPr>
        <w:t>No Misstatement or Material Omission</w:t>
      </w:r>
      <w:r>
        <w:rPr>
          <w:rFonts w:ascii="Times New Roman" w:hAnsi="Times New Roman"/>
          <w:color w:val="000000"/>
          <w:sz w:val="24"/>
        </w:rPr>
        <w:t xml:space="preserve">. As of the date of its issue and as of each Applicable Time (as defined in </w:t>
      </w:r>
      <w:r>
        <w:rPr>
          <w:rFonts w:ascii="Times New Roman" w:hAnsi="Times New Roman"/>
          <w:color w:val="000000"/>
          <w:sz w:val="24"/>
          <w:u w:val="single"/>
        </w:rPr>
        <w:t>Section 23</w:t>
      </w:r>
      <w:r>
        <w:rPr>
          <w:color w:val="000000"/>
        </w:rPr>
        <w:t xml:space="preserve"> </w:t>
      </w:r>
      <w:r>
        <w:rPr>
          <w:rFonts w:ascii="Times New Roman" w:hAnsi="Times New Roman"/>
          <w:color w:val="000000"/>
          <w:sz w:val="24"/>
        </w:rPr>
        <w:t>below), none of (A) the Prospectus, or (B) any free writing prospectus, when considered together with the Prospectus, included, includes or will include, through the completion of the Placement or Placements for which such Issuer Free Writing Prospectus is issued, an untrue statement of a material fact or omitted, omits or will omit to state a material fact necessary in order to make the statements therein, in the light of the circumstances under which they were made, not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w:t>
      </w:r>
    </w:p>
    <w:p>
      <w:pPr>
        <w:pStyle w:val="TextBody"/>
        <w:bidi w:val="0"/>
        <w:spacing w:before="0" w:after="240"/>
        <w:jc w:val="both"/>
        <w:rPr/>
      </w:pPr>
      <w:r>
        <w:rPr>
          <w:rFonts w:ascii="Times New Roman" w:hAnsi="Times New Roman"/>
          <w:color w:val="000000"/>
          <w:sz w:val="24"/>
          <w:u w:val="single"/>
        </w:rPr>
        <w:t>No Defaults</w:t>
      </w:r>
      <w:r>
        <w:rPr>
          <w:rFonts w:ascii="Times New Roman" w:hAnsi="Times New Roman"/>
          <w:color w:val="000000"/>
          <w:sz w:val="24"/>
        </w:rPr>
        <w:t>. Neither the Company nor any of its subsidiaries is (i) in violation of its respective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w:t>
      </w:r>
    </w:p>
    <w:p>
      <w:pPr>
        <w:pStyle w:val="TextBody"/>
        <w:bidi w:val="0"/>
        <w:spacing w:before="0" w:after="240"/>
        <w:jc w:val="both"/>
        <w:rPr/>
      </w:pPr>
      <w:r>
        <w:rPr>
          <w:rFonts w:ascii="Times New Roman" w:hAnsi="Times New Roman"/>
          <w:color w:val="000000"/>
          <w:sz w:val="24"/>
          <w:u w:val="single"/>
        </w:rPr>
        <w:t>Underwriting Agreements</w:t>
      </w:r>
      <w:r>
        <w:rPr>
          <w:rFonts w:ascii="Times New Roman" w:hAnsi="Times New Roman"/>
          <w:color w:val="000000"/>
          <w:sz w:val="24"/>
        </w:rPr>
        <w:t>. Other than with respect to this Agreement, the Company is not a party to any agreement with an agent or underwriter for any other “at the market” or continuous equity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xml:space="preserve">. Except as would not, singly or in the aggregate, reasonably be expected to have a material adverse effect on the Company and its subsidiaries, taken as a whole, (A) each Plan (as defined below) has been maintained in compliance with its terms and the requirements of any applicable statutes, orders, rules and regulations, including but not limited to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Employee Retirement Income Security Act of 1974, as amended (“</w:t>
      </w:r>
      <w:r>
        <w:rPr>
          <w:rFonts w:ascii="Times New Roman" w:hAnsi="Times New Roman"/>
          <w:b/>
          <w:color w:val="000000"/>
          <w:sz w:val="24"/>
        </w:rPr>
        <w:t>ERISA</w:t>
      </w:r>
      <w:r>
        <w:rPr>
          <w:color w:val="000000"/>
        </w:rPr>
        <w:t>”</w:t>
      </w:r>
      <w:r>
        <w:rPr>
          <w:rFonts w:ascii="Times New Roman" w:hAnsi="Times New Roman"/>
          <w:color w:val="000000"/>
          <w:sz w:val="24"/>
        </w:rPr>
        <w:t>) and the Internal Revenue Code of 1986, as amended (the “</w:t>
      </w:r>
      <w:r>
        <w:rPr>
          <w:rFonts w:ascii="Times New Roman" w:hAnsi="Times New Roman"/>
          <w:b/>
          <w:color w:val="000000"/>
          <w:sz w:val="24"/>
        </w:rPr>
        <w:t>Code</w:t>
      </w:r>
      <w:r>
        <w:rPr>
          <w:color w:val="000000"/>
        </w:rPr>
        <w:t>”</w:t>
      </w:r>
      <w:r>
        <w:rPr>
          <w:rFonts w:ascii="Times New Roman" w:hAnsi="Times New Roman"/>
          <w:color w:val="000000"/>
          <w:sz w:val="24"/>
        </w:rPr>
        <w:t>); (B) no non-exempt prohibited transaction, within the meaning of Section 406 of ERISA or Section 4975 of the Code, has occurred with respect to any Plan; (C) for each Plan,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notice is waived) has occurred or is reasonably expected to occur; and (E) neither the Company nor any member of the Company’s “Controlled Group” (defined as any organization which is a member of a controlled group of corporations within the meaning of Section 414 of the Code) has incurred, nor is reasonably expected to incur, any liability under Title IV of ERISA (other than contributions to any Plan or any Multiemployer Plan or premiums to the PBGC, in the ordinary course and without default) in respect of a Plan or a Multiemployer Plan. For purposes of this paragraph, (x) the term “Plan” means an employee benefit plan, within the meaning of Section 3(3) of ERISA, subject to Title IV of ERISA, but excluding any Multiemployer Plan, for which the Company, or any member of its “Controlled Group” has any liability and (y) the term “Multiemployer Plan” means a multiemployer plan within the meaning of Section 4001(a)(3) of ERISA.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(oo)</w:t>
      </w:r>
    </w:p>
    <w:p>
      <w:pPr>
        <w:pStyle w:val="TextBody"/>
        <w:bidi w:val="0"/>
        <w:spacing w:before="0" w:after="240"/>
        <w:jc w:val="both"/>
        <w:rPr/>
      </w:pPr>
      <w:r>
        <w:rPr>
          <w:rFonts w:ascii="Times New Roman" w:hAnsi="Times New Roman"/>
          <w:color w:val="000000"/>
          <w:sz w:val="24"/>
          <w:u w:val="single"/>
        </w:rPr>
        <w:t>Disclosure Controls</w:t>
      </w:r>
      <w:r>
        <w:rPr>
          <w:rFonts w:ascii="Times New Roman" w:hAnsi="Times New Roman"/>
          <w:color w:val="000000"/>
          <w:sz w:val="24"/>
        </w:rPr>
        <w:t>. The Company and its subsidiaries, as a whole, have designed a system of “disclosure controls and procedures” (as defined in Rule 13a-15(e) under the Exchange Act ) that is designed to comply with the requirements of the Exchange Act within the time period required and has been designed to ensure that material information relating to the Company is made known to the Company’s principal executive officer and principal financial officer by others within the Company or its subsidiaries; and such disclosure controls and procedures are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(pp)</w:t>
      </w:r>
    </w:p>
    <w:p>
      <w:pPr>
        <w:pStyle w:val="TextBody"/>
        <w:bidi w:val="0"/>
        <w:spacing w:before="0" w:after="240"/>
        <w:jc w:val="both"/>
        <w:rPr/>
      </w:pPr>
      <w:r>
        <w:rPr>
          <w:rFonts w:ascii="Times New Roman" w:hAnsi="Times New Roman"/>
          <w:color w:val="000000"/>
          <w:sz w:val="24"/>
          <w:u w:val="single"/>
        </w:rPr>
        <w:t>Forward-Looking Statements</w:t>
      </w:r>
      <w:r>
        <w:rPr>
          <w:rFonts w:ascii="Times New Roman" w:hAnsi="Times New Roman"/>
          <w:color w:val="000000"/>
          <w:sz w:val="24"/>
        </w:rPr>
        <w:t>. No forward-looking statement (within the meaning of Section 27A of the Securities Act and Section 21E of the Exchange Act) (a “</w:t>
      </w:r>
      <w:r>
        <w:rPr>
          <w:rFonts w:ascii="Times New Roman" w:hAnsi="Times New Roman"/>
          <w:b/>
          <w:color w:val="000000"/>
          <w:sz w:val="24"/>
          <w:u w:val="single"/>
        </w:rPr>
        <w:t>Forward-Looking Statement</w:t>
      </w:r>
      <w:r>
        <w:rPr>
          <w:color w:val="000000"/>
        </w:rPr>
        <w:t>”</w:t>
      </w:r>
      <w:r>
        <w:rPr>
          <w:rFonts w:ascii="Times New Roman" w:hAnsi="Times New Roman"/>
          <w:color w:val="000000"/>
          <w:sz w:val="24"/>
        </w:rPr>
        <w:t>) contained in the Registration Statement and the Prospectus has been made or reaffirmed without a reasonable basis or has been disclosed other than in good faith.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(qq)</w:t>
      </w:r>
    </w:p>
    <w:p>
      <w:pPr>
        <w:pStyle w:val="TextBody"/>
        <w:bidi w:val="0"/>
        <w:spacing w:before="0" w:after="240"/>
        <w:jc w:val="both"/>
        <w:rPr/>
      </w:pPr>
      <w:r>
        <w:rPr>
          <w:rFonts w:ascii="Times New Roman" w:hAnsi="Times New Roman"/>
          <w:color w:val="000000"/>
          <w:sz w:val="24"/>
          <w:u w:val="single"/>
        </w:rPr>
        <w:t>No Ratings</w:t>
      </w:r>
      <w:r>
        <w:rPr>
          <w:rFonts w:ascii="Times New Roman" w:hAnsi="Times New Roman"/>
          <w:color w:val="000000"/>
          <w:sz w:val="24"/>
        </w:rPr>
        <w:t>. Neither the Company nor any of its subsidiaries has any securities rated by any “nationally recognized statistical rating organization,” as such term is defined in Section 3(a)(62)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(rr)</w:t>
      </w:r>
    </w:p>
    <w:p>
      <w:pPr>
        <w:pStyle w:val="TextBody"/>
        <w:bidi w:val="0"/>
        <w:spacing w:before="0" w:after="240"/>
        <w:jc w:val="both"/>
        <w:rPr/>
      </w:pPr>
      <w:r>
        <w:rPr>
          <w:rFonts w:ascii="Times New Roman" w:hAnsi="Times New Roman"/>
          <w:color w:val="000000"/>
          <w:sz w:val="24"/>
          <w:u w:val="single"/>
        </w:rPr>
        <w:t>Sarbanes-Oxley</w:t>
      </w:r>
      <w:r>
        <w:rPr>
          <w:rFonts w:ascii="Times New Roman" w:hAnsi="Times New Roman"/>
          <w:color w:val="000000"/>
          <w:sz w:val="24"/>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and that are applicable to the Company, including Section 402 related to loans, Section 404 related to internal control over financial reporting and Sections 302 and 906 related to certifications.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240"/>
        <w:jc w:val="both"/>
        <w:rPr/>
      </w:pPr>
      <w:r>
        <w:rPr>
          <w:rFonts w:ascii="Times New Roman" w:hAnsi="Times New Roman"/>
          <w:color w:val="000000"/>
          <w:sz w:val="24"/>
          <w:u w:val="single"/>
        </w:rPr>
        <w:t>No Manipulation</w:t>
      </w:r>
      <w:r>
        <w:rPr>
          <w:rFonts w:ascii="Times New Roman" w:hAnsi="Times New Roman"/>
          <w:color w:val="000000"/>
          <w:sz w:val="24"/>
        </w:rPr>
        <w:t>. The Company has not taken, directly or indirectly, any action designed to or that would be expected to cause or result in any stabilization or manipulation of the price of the Placement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(tt)</w:t>
      </w:r>
    </w:p>
    <w:p>
      <w:pPr>
        <w:pStyle w:val="TextBody"/>
        <w:bidi w:val="0"/>
        <w:spacing w:before="0" w:after="240"/>
        <w:jc w:val="both"/>
        <w:rPr/>
      </w:pPr>
      <w:r>
        <w:rPr>
          <w:rFonts w:ascii="Times New Roman" w:hAnsi="Times New Roman"/>
          <w:color w:val="000000"/>
          <w:sz w:val="24"/>
          <w:u w:val="single"/>
        </w:rPr>
        <w:t>Agent Purchases</w:t>
      </w:r>
      <w:r>
        <w:rPr>
          <w:rFonts w:ascii="Times New Roman" w:hAnsi="Times New Roman"/>
          <w:color w:val="000000"/>
          <w:sz w:val="24"/>
        </w:rPr>
        <w:t xml:space="preserve">. The Company acknowledges and agrees that each Agent has informed the Company that such Agent may, to the extent permitted under the Securities Act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and the Exchange Act, purchase and sell Common Stock for its own account while this Agreement is in effect, </w:t>
      </w:r>
      <w:r>
        <w:rPr>
          <w:rFonts w:ascii="Times New Roman" w:hAnsi="Times New Roman"/>
          <w:i/>
          <w:color w:val="000000"/>
          <w:sz w:val="24"/>
        </w:rPr>
        <w:t>provided</w:t>
      </w:r>
      <w:r>
        <w:rPr>
          <w:rFonts w:ascii="Times New Roman" w:hAnsi="Times New Roman"/>
          <w:color w:val="000000"/>
          <w:sz w:val="24"/>
        </w:rPr>
        <w:t>, that the Company shall not be deemed to have authorized or consented to any such purchases or sales by an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(uu)</w:t>
      </w:r>
    </w:p>
    <w:p>
      <w:pPr>
        <w:pStyle w:val="TextBody"/>
        <w:bidi w:val="0"/>
        <w:spacing w:before="0" w:after="240"/>
        <w:jc w:val="both"/>
        <w:rPr/>
      </w:pPr>
      <w:r>
        <w:rPr>
          <w:rFonts w:ascii="Times New Roman" w:hAnsi="Times New Roman"/>
          <w:color w:val="000000"/>
          <w:sz w:val="24"/>
          <w:u w:val="single"/>
        </w:rPr>
        <w:t>Outbound Investment Security Program</w:t>
      </w:r>
      <w:r>
        <w:rPr>
          <w:rFonts w:ascii="Times New Roman" w:hAnsi="Times New Roman"/>
          <w:color w:val="000000"/>
          <w:sz w:val="24"/>
        </w:rPr>
        <w:t>. Neither the Company nor any of its subsidiaries is a “covered foreign person,” as that term is defined in 31 C.F.R. § 850.209. The Company will not take any steps or actions that would result in the transactions contemplated hereunder, including the offering and sale of the Securities, qualifying as a “covered transaction,” as that term is defined in 31 C.F.R. § 850.210.</w:t>
      </w:r>
    </w:p>
    <w:p>
      <w:pPr>
        <w:pStyle w:val="Heading2"/>
        <w:bidi w:val="0"/>
        <w:spacing w:before="0" w:after="240"/>
        <w:jc w:val="both"/>
        <w:rPr>
          <w:rFonts w:ascii="Times New Roman" w:hAnsi="Times New Roman"/>
          <w:color w:val="000000"/>
          <w:sz w:val="24"/>
        </w:rPr>
      </w:pPr>
      <w:r>
        <w:rPr>
          <w:rFonts w:ascii="Times New Roman" w:hAnsi="Times New Roman"/>
          <w:color w:val="000000"/>
          <w:sz w:val="24"/>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Covenants of the Company</w:t>
      </w:r>
      <w:r>
        <w:rPr>
          <w:rFonts w:ascii="Times New Roman" w:hAnsi="Times New Roman"/>
          <w:color w:val="000000"/>
          <w:sz w:val="24"/>
        </w:rPr>
        <w:t>. The Company covenants and agrees with the Agents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Registration Statement Amendments</w:t>
      </w:r>
      <w:r>
        <w:rPr>
          <w:rFonts w:ascii="Times New Roman" w:hAnsi="Times New Roman"/>
          <w:color w:val="000000"/>
          <w:sz w:val="24"/>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or similar rule) (the “</w:t>
      </w:r>
      <w:r>
        <w:rPr>
          <w:rFonts w:ascii="Times New Roman" w:hAnsi="Times New Roman"/>
          <w:b/>
          <w:color w:val="000000"/>
          <w:sz w:val="24"/>
          <w:u w:val="single"/>
        </w:rPr>
        <w:t>Prospectus Delivery Period</w:t>
      </w:r>
      <w:r>
        <w:rPr>
          <w:color w:val="000000"/>
        </w:rPr>
        <w:t>”</w:t>
      </w:r>
      <w:r>
        <w:rPr>
          <w:rFonts w:ascii="Times New Roman" w:hAnsi="Times New Roman"/>
          <w:color w:val="000000"/>
          <w:sz w:val="24"/>
        </w:rPr>
        <w:t>),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the Agents within a reasonable period of time before the filing and the Agents have not objected thereto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failure of the Agents to make such objection shall not relieve the Company of any obligation or liability hereunder, or affect the Agents’ right to rely on the representations and warranties made by the Company in this Agreement and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hAnsi="Times New Roman"/>
          <w:color w:val="000000"/>
          <w:sz w:val="24"/>
          <w:u w:val="single"/>
        </w:rPr>
        <w:t>Section 7(a)</w:t>
      </w:r>
      <w:r>
        <w:rPr>
          <w:rFonts w:ascii="Times New Roman" w:hAnsi="Times New Roman"/>
          <w:color w:val="000000"/>
          <w:sz w:val="24"/>
        </w:rPr>
        <w:t>, based on the Company’s reasonable opinion or reasonable objections, shall be made exclusively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Notice of Commission Stop Orders</w:t>
      </w:r>
      <w:r>
        <w:rPr>
          <w:rFonts w:ascii="Times New Roman" w:hAnsi="Times New Roman"/>
          <w:color w:val="000000"/>
          <w:sz w:val="24"/>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Delivery of Prospectus; Subsequent Changes</w:t>
      </w:r>
      <w:r>
        <w:rPr>
          <w:rFonts w:ascii="Times New Roman" w:hAnsi="Times New Roman"/>
          <w:color w:val="000000"/>
          <w:sz w:val="24"/>
        </w:rPr>
        <w:t xml:space="preserve">.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Agents promptly of all such filings, if not available through EDGAR.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Designated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hAnsi="Times New Roman"/>
          <w:i/>
          <w:color w:val="000000"/>
          <w:sz w:val="24"/>
        </w:rPr>
        <w:t>provided, however</w:t>
      </w:r>
      <w:r>
        <w:rPr>
          <w:rFonts w:ascii="Times New Roman" w:hAnsi="Times New Roman"/>
          <w:color w:val="000000"/>
          <w:sz w:val="24"/>
        </w:rPr>
        <w:t>, that the Company may delay any such amendment or supplement if, in the reasonable judgment of the Company, it is in the interests of the Company to do so, provided that no Placement Notice is in effect during such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Listing of Placement Shares</w:t>
      </w:r>
      <w:r>
        <w:rPr>
          <w:rFonts w:ascii="Times New Roman" w:hAnsi="Times New Roman"/>
          <w:color w:val="000000"/>
          <w:sz w:val="24"/>
        </w:rPr>
        <w:t>. Prior to the date of the first Placement Notice, the Company will use its reasonable best efforts to maintain the listing of the Placement Shares or to cause the Placement Shares to be listed on the Exchange, as applicable. The Company will timely file with the Exchange all material documents and notices required by the Exchange of companies that have or will issue securities that are traded on the Exchange, to the extent applicable to the Company.</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Delivery of Registration Statement and Prospectus</w:t>
      </w:r>
      <w:r>
        <w:rPr>
          <w:rFonts w:ascii="Times New Roman" w:hAnsi="Times New Roman"/>
          <w:color w:val="000000"/>
          <w:sz w:val="24"/>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shall not be required to furnish any document (other than the Prospectus) to the Agents to the extent such document is available on EDGAR.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Earnings Statement</w:t>
      </w:r>
      <w:r>
        <w:rPr>
          <w:rFonts w:ascii="Times New Roman" w:hAnsi="Times New Roman"/>
          <w:color w:val="000000"/>
          <w:sz w:val="24"/>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The terms “earnings statement” and “made generally available to its security holders” shall have the meanings set forth in Rule 158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The Company will use the Net Proceeds as described in the Prospectus in the section entitled “Use of Proceeds.”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Notice of Other Sales</w:t>
      </w:r>
      <w:r>
        <w:rPr>
          <w:rFonts w:ascii="Times New Roman" w:hAnsi="Times New Roman"/>
          <w:color w:val="000000"/>
          <w:sz w:val="24"/>
        </w:rPr>
        <w:t>. Without the prior written consent of the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second (2</w:t>
      </w:r>
      <w:r>
        <w:rPr>
          <w:rFonts w:ascii="Times New Roman" w:hAnsi="Times New Roman"/>
          <w:color w:val="000000"/>
          <w:sz w:val="16"/>
        </w:rPr>
        <w:t>nd</w:t>
      </w:r>
      <w:r>
        <w:rPr>
          <w:rFonts w:ascii="Times New Roman" w:hAnsi="Times New Roman"/>
          <w:color w:val="000000"/>
          <w:sz w:val="24"/>
        </w:rPr>
        <w:t>) Trading Day immediately prior to the date on which any Placement Notice is delivered to a Designated Agent hereunder and ending on the second (2</w:t>
      </w:r>
      <w:r>
        <w:rPr>
          <w:rFonts w:ascii="Times New Roman" w:hAnsi="Times New Roman"/>
          <w:color w:val="000000"/>
          <w:sz w:val="16"/>
        </w:rPr>
        <w:t>nd</w:t>
      </w:r>
      <w:r>
        <w:rPr>
          <w:rFonts w:ascii="Times New Roman" w:hAnsi="Times New Roman"/>
          <w:color w:val="000000"/>
          <w:sz w:val="24"/>
        </w:rPr>
        <w:t xml:space="preserv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later of the termination of this Agreement and the final Settlement Date with respect to Placement Shares sold pursuant to such Placement Notice;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such restrictions will not apply in connection with the Company’s issuance or sale of (i) Common Stock, options to purchase Common Stock, restricted stock units, or Common Stock issuable upon the exercise of options (including net exercise) or the settlement of restricted stock units (including net settlement), including any Common Stock sold on behalf of an employee to cover tax withholding obligation,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available on EDGAR or otherwise in writing to the Agents and (iii) Common Stock or securities convertible into or exchangeable for shares of Common Stock as consideration for mergers, acquisitions, other business combinations or research, collaboration, technology license, development, marketing or other similar agreements or strategic partnerships or alliances occurring after the date of this Agreement which are not issued for capital raising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Change of Circumstances</w:t>
      </w:r>
      <w:r>
        <w:rPr>
          <w:rFonts w:ascii="Times New Roman" w:hAnsi="Times New Roman"/>
          <w:color w:val="000000"/>
          <w:sz w:val="24"/>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Due Diligence Cooperation</w:t>
      </w:r>
      <w:r>
        <w:rPr>
          <w:rFonts w:ascii="Times New Roman" w:hAnsi="Times New Roman"/>
          <w:color w:val="000000"/>
          <w:sz w:val="24"/>
        </w:rPr>
        <w: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Required Filings Relating to Placement of Placement Shares</w:t>
      </w:r>
      <w:r>
        <w:rPr>
          <w:rFonts w:ascii="Times New Roman" w:hAnsi="Times New Roman"/>
          <w:color w:val="000000"/>
          <w:sz w:val="24"/>
        </w:rPr>
        <w:t>. The Company shall disclose, in its quarterly reports on Form 10-Q and in its annual report on Form 10-K to be filed by the Company with the Commission from time to time, the number of the Placement Shares sold through the Agents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with respect to the Placement Shares, the Company will (i) file a prospectus supplement with the Commission under the applicable paragraph of Rule 424(b) under the Securities Act (each and every date a filing under Rule 424(b) is made, a “</w:t>
      </w:r>
      <w:r>
        <w:rPr>
          <w:rFonts w:ascii="Times New Roman" w:hAnsi="Times New Roman"/>
          <w:b/>
          <w:color w:val="000000"/>
          <w:sz w:val="24"/>
          <w:u w:val="single"/>
        </w:rPr>
        <w:t>Filing Date</w:t>
      </w:r>
      <w:r>
        <w:rPr>
          <w:color w:val="000000"/>
        </w:rPr>
        <w:t>”</w:t>
      </w:r>
      <w:r>
        <w:rPr>
          <w:rFonts w:ascii="Times New Roman" w:hAnsi="Times New Roman"/>
          <w:color w:val="000000"/>
          <w:sz w:val="24"/>
        </w:rPr>
        <w:t>), which prospectus supplement will set forth, within the relevant period, the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Representation Dates; Certificate</w:t>
      </w:r>
      <w:r>
        <w:rPr>
          <w:rFonts w:ascii="Times New Roman" w:hAnsi="Times New Roman"/>
          <w:color w:val="000000"/>
          <w:sz w:val="24"/>
        </w:rPr>
        <w:t>. (1) On or prior to the date of the first Placement Notice and (2) each time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files an annual report on Form 10-K under the Exchange Act (including any Form 10-K/A containing amended financial information or a material amendment to the previously filed Form 10-K);</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(iii) files its quarterly reports on Form 10-Q under the Exchange Act;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hAnsi="Times New Roman"/>
          <w:b/>
          <w:color w:val="000000"/>
          <w:sz w:val="24"/>
          <w:u w:val="single"/>
        </w:rPr>
        <w:t>Representation Date</w:t>
      </w:r>
      <w:r>
        <w:rPr>
          <w:rFonts w:ascii="Times New Roman" w:hAnsi="Times New Roman"/>
          <w:color w:val="000000"/>
          <w:sz w:val="20"/>
        </w:rPr>
        <w:t>”</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color w:val="000000"/>
          <w:sz w:val="24"/>
        </w:rPr>
        <w:t xml:space="preserve">the Company shall furnish the Agents (but in the case of clause (iv) above only if the Agents reasonably determine that the information contained in such Form 8-K is material) with a certificate dated the Representation Date, in the form and substance satisfactory to the Agents and its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Times New Roman" w:hAnsi="Times New Roman"/>
          <w:color w:val="000000"/>
          <w:sz w:val="24"/>
          <w:u w:val="single"/>
        </w:rPr>
        <w:t>Section 7(l)</w:t>
      </w:r>
      <w:r>
        <w:rPr>
          <w:rFonts w:ascii="Times New Roman" w:hAnsi="Times New Roman"/>
          <w:color w:val="000000"/>
          <w:sz w:val="20"/>
        </w:rPr>
        <w:t xml:space="preserve"> </w:t>
      </w:r>
      <w:r>
        <w:rPr>
          <w:rFonts w:ascii="Times New Roman" w:hAnsi="Times New Roman"/>
          <w:color w:val="000000"/>
          <w:sz w:val="24"/>
        </w:rPr>
        <w:t xml:space="preserve">shall be waived for any Representation Date occurring at a time a Suspension is in effect, which waiver shall continue until the earlier to occur of the date the Company delivers a Placement Notice hereunder (which for such calendar quarter shall be considered a Representation Date) and the next occurring Representation Date. Notwithstanding the foregoing, if the Company subsequently decides to sell Placement Shares following a Representation Date when a Suspension was in effect and did not provide the Agents with a certificate under this </w:t>
      </w:r>
      <w:r>
        <w:rPr>
          <w:rFonts w:ascii="Times New Roman" w:hAnsi="Times New Roman"/>
          <w:color w:val="000000"/>
          <w:sz w:val="24"/>
          <w:u w:val="single"/>
        </w:rPr>
        <w:t>Section 7(l)</w:t>
      </w:r>
      <w:r>
        <w:rPr>
          <w:rFonts w:ascii="Times New Roman" w:hAnsi="Times New Roman"/>
          <w:color w:val="000000"/>
          <w:sz w:val="24"/>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Times New Roman" w:hAnsi="Times New Roman"/>
          <w:color w:val="000000"/>
          <w:sz w:val="24"/>
          <w:u w:val="single"/>
        </w:rPr>
        <w:t>Section 7(l)</w:t>
      </w:r>
      <w:r>
        <w:rPr>
          <w:rFonts w:ascii="Times New Roman" w:hAnsi="Times New Roman"/>
          <w:color w:val="000000"/>
          <w:sz w:val="20"/>
        </w:rPr>
        <w:t xml:space="preserve"> </w:t>
      </w:r>
      <w:r>
        <w:rPr>
          <w:rFonts w:ascii="Times New Roman" w:hAnsi="Times New Roman"/>
          <w:color w:val="000000"/>
          <w:sz w:val="24"/>
        </w:rPr>
        <w:t>dated the date of the Placement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Legal Opinion</w:t>
      </w:r>
      <w:r>
        <w:rPr>
          <w:rFonts w:ascii="Times New Roman" w:hAnsi="Times New Roman"/>
          <w:color w:val="000000"/>
          <w:sz w:val="24"/>
        </w:rPr>
        <w:t xml:space="preserve">. (1) On or prior to the date of the first Placement Notice and (2) within five (5) Trading Days of each Representation Date with respect to which the Company is obligated to deliver a certificate pursuant to </w:t>
      </w:r>
      <w:r>
        <w:rPr>
          <w:rFonts w:ascii="Times New Roman" w:hAnsi="Times New Roman"/>
          <w:color w:val="000000"/>
          <w:sz w:val="24"/>
          <w:u w:val="single"/>
        </w:rPr>
        <w:t>Section 7(l)</w:t>
      </w:r>
      <w:r>
        <w:rPr>
          <w:color w:val="000000"/>
        </w:rPr>
        <w:t xml:space="preserve"> </w:t>
      </w:r>
      <w:r>
        <w:rPr>
          <w:rFonts w:ascii="Times New Roman" w:hAnsi="Times New Roman"/>
          <w:color w:val="000000"/>
          <w:sz w:val="24"/>
        </w:rPr>
        <w:t>for which no waiver is applicable and excluding the date of this Agreement, the Company shall cause to be furnished to the Agents a written opinion and negative assurance letter of Cooley LLP and a written legal opinion of Brownstein Hyatt Farber Schreck, LLP, or, in each case, other counsel satisfactory to the Agents (any such counsel, “</w:t>
      </w:r>
      <w:r>
        <w:rPr>
          <w:rFonts w:ascii="Times New Roman" w:hAnsi="Times New Roman"/>
          <w:b/>
          <w:color w:val="000000"/>
          <w:sz w:val="24"/>
          <w:u w:val="single"/>
        </w:rPr>
        <w:t>Company Counsel</w:t>
      </w:r>
      <w:r>
        <w:rPr>
          <w:color w:val="000000"/>
        </w:rPr>
        <w:t>”</w:t>
      </w:r>
      <w:r>
        <w:rPr>
          <w:rFonts w:ascii="Times New Roman" w:hAnsi="Times New Roman"/>
          <w:color w:val="000000"/>
          <w:sz w:val="24"/>
        </w:rPr>
        <w:t xml:space="preserve">), in form and substance satisfactory to the Agents and its counsel, substantially similar to the form previously provided to the Agents and their counsel, modified, as necessary, to relate to the Registration Statement and the Prospectus as then amended or supplemented; </w:t>
      </w:r>
      <w:r>
        <w:rPr>
          <w:rFonts w:ascii="Times New Roman" w:hAnsi="Times New Roman"/>
          <w:i/>
          <w:color w:val="000000"/>
          <w:sz w:val="24"/>
        </w:rPr>
        <w:t>provided</w:t>
      </w:r>
      <w:r>
        <w:rPr>
          <w:color w:val="000000"/>
        </w:rPr>
        <w:t xml:space="preserve"> </w:t>
      </w:r>
      <w:r>
        <w:rPr>
          <w:rFonts w:ascii="Times New Roman" w:hAnsi="Times New Roman"/>
          <w:color w:val="000000"/>
          <w:sz w:val="24"/>
        </w:rPr>
        <w:t>that, in lieu of such negative assurance for subsequent periodic filings under the Exchange Act, counsel may furnish the Agents with a letter (a “</w:t>
      </w:r>
      <w:r>
        <w:rPr>
          <w:rFonts w:ascii="Times New Roman" w:hAnsi="Times New Roman"/>
          <w:b/>
          <w:color w:val="000000"/>
          <w:sz w:val="24"/>
          <w:u w:val="single"/>
        </w:rPr>
        <w:t>Reliance Letter</w:t>
      </w:r>
      <w:r>
        <w:rPr>
          <w:color w:val="000000"/>
        </w:rPr>
        <w:t>”</w:t>
      </w:r>
      <w:r>
        <w:rPr>
          <w:rFonts w:ascii="Times New Roman" w:hAnsi="Times New Roman"/>
          <w:color w:val="000000"/>
          <w:sz w:val="24"/>
        </w:rPr>
        <w:t xml:space="preserve">) to the effect that the Agents may rely on the negative assurance letter previously delivered under this </w:t>
      </w:r>
      <w:r>
        <w:rPr>
          <w:rFonts w:ascii="Times New Roman" w:hAnsi="Times New Roman"/>
          <w:color w:val="000000"/>
          <w:sz w:val="24"/>
          <w:u w:val="single"/>
        </w:rPr>
        <w:t>Section 7(m)</w:t>
      </w:r>
      <w:r>
        <w:rPr>
          <w:color w:val="000000"/>
        </w:rPr>
        <w:t xml:space="preserve"> </w:t>
      </w:r>
      <w:r>
        <w:rPr>
          <w:rFonts w:ascii="Times New Roman" w:hAnsi="Times New Roman"/>
          <w:color w:val="000000"/>
          <w:sz w:val="24"/>
        </w:rPr>
        <w:t xml:space="preserve">to the same extent as if it were dated the date of such letter (except that statements in such prior letter shall be deemed to relate to the Registration Statement and the Prospectus as amended or supplemented as of the date of the Reliance Letter). Except as provided under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hereof with respect to a Block Sale, the Company shall not be required to furnish more than one legal opinion from each Company Counsel per each filing of an annual report on Form 10-K and quarterly report on Form 10-Q.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Comfort Letter</w:t>
      </w:r>
      <w:r>
        <w:rPr>
          <w:rFonts w:ascii="Times New Roman" w:hAnsi="Times New Roman"/>
          <w:color w:val="000000"/>
          <w:sz w:val="24"/>
        </w:rPr>
        <w:t xml:space="preserve">. (1) On or prior to the date of the first Placement Notice and (2) within five (5) Trading Days of each Representation Date with respect to which the Company is obligated to deliver a certificate pursuant to </w:t>
      </w:r>
      <w:r>
        <w:rPr>
          <w:rFonts w:ascii="Times New Roman" w:hAnsi="Times New Roman"/>
          <w:color w:val="000000"/>
          <w:sz w:val="24"/>
          <w:u w:val="single"/>
        </w:rPr>
        <w:t>Section 7(l)</w:t>
      </w:r>
      <w:r>
        <w:rPr>
          <w:color w:val="000000"/>
        </w:rPr>
        <w:t xml:space="preserve"> </w:t>
      </w:r>
      <w:r>
        <w:rPr>
          <w:rFonts w:ascii="Times New Roman" w:hAnsi="Times New Roman"/>
          <w:color w:val="000000"/>
          <w:sz w:val="24"/>
        </w:rPr>
        <w:t xml:space="preserve">for which no waiver is applicable and excluding the date of this Agreement, the Company shall cause its independent registered public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accounting firm to furnish the Agents letters (the “</w:t>
      </w:r>
      <w:r>
        <w:rPr>
          <w:rFonts w:ascii="Times New Roman" w:hAnsi="Times New Roman"/>
          <w:b/>
          <w:color w:val="000000"/>
          <w:sz w:val="24"/>
          <w:u w:val="single"/>
        </w:rPr>
        <w:t>Comfort Letters</w:t>
      </w:r>
      <w:r>
        <w:rPr>
          <w:color w:val="000000"/>
        </w:rPr>
        <w:t>”</w:t>
      </w:r>
      <w:r>
        <w:rPr>
          <w:rFonts w:ascii="Times New Roman" w:hAnsi="Times New Roman"/>
          <w:color w:val="000000"/>
          <w:sz w:val="24"/>
        </w:rPr>
        <w:t xml:space="preserve">), dated the date the Comfort Letter is delivered, which shall meet the requirements set forth in this </w:t>
      </w:r>
      <w:r>
        <w:rPr>
          <w:rFonts w:ascii="Times New Roman" w:hAnsi="Times New Roman"/>
          <w:color w:val="000000"/>
          <w:sz w:val="24"/>
          <w:u w:val="single"/>
        </w:rPr>
        <w:t>Section 7(n)</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that if requested by the Agents, the Company shall cause a Comfort Letter to be furnished to the Agents within ten (10) Trading Days of the date of occurrence of any material transaction or event requiring the filing of a Current Report on Form 8-K containing financial information ( including the restatement of the Company’s financial statements). The Comfort Letter from the Company’s independent registered public accounting firm shall be in a form and substance satisfactory to the Agents, (i) confirming that they are an independent registered public accounting firm within the meaning of the Securities Act and the Public Company Accounting Oversight Board (“</w:t>
      </w:r>
      <w:r>
        <w:rPr>
          <w:rFonts w:ascii="Times New Roman" w:hAnsi="Times New Roman"/>
          <w:b/>
          <w:color w:val="000000"/>
          <w:sz w:val="24"/>
          <w:u w:val="single"/>
        </w:rPr>
        <w:t>PCAOB</w:t>
      </w:r>
      <w:r>
        <w:rPr>
          <w:color w:val="000000"/>
        </w:rPr>
        <w:t>”</w:t>
      </w:r>
      <w:r>
        <w:rPr>
          <w:rFonts w:ascii="Times New Roman" w:hAnsi="Times New Roman"/>
          <w:color w:val="000000"/>
          <w:sz w:val="24"/>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b/>
          <w:color w:val="000000"/>
          <w:sz w:val="24"/>
          <w:u w:val="single"/>
        </w:rPr>
        <w:t>Initial Comfort Letter</w:t>
      </w:r>
      <w:r>
        <w:rPr>
          <w:color w:val="000000"/>
        </w:rPr>
        <w:t>”</w:t>
      </w:r>
      <w:r>
        <w:rPr>
          <w:rFonts w:ascii="Times New Roman" w:hAnsi="Times New Roman"/>
          <w:color w:val="000000"/>
          <w:sz w:val="24"/>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Except as provided under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 xml:space="preserve">hereof with respect to a Block Sale, the Company shall be required to furnish no more than one comfort letter hereunder per each filing of an annual report on Form 10-K and quarterly report on Form 10-Q;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Company files any amendment to such annual report on Form 10-K or a quarterly report on Form 10-Q, as applicable, or a current report on Form 8-K that in any of such cases requires the filing of any material financial information, the Company shall be required to furnish one or more comfort letters, as applicable, pursuant to the terms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CFO Certificate</w:t>
      </w:r>
      <w:r>
        <w:rPr>
          <w:rFonts w:ascii="Times New Roman" w:hAnsi="Times New Roman"/>
          <w:color w:val="000000"/>
          <w:sz w:val="24"/>
        </w:rPr>
        <w:t xml:space="preserve">. (1) On or prior to the date of the first Placement Notice and (2) within five (5) Trading Days of each Representation Date with respect to which the Company is obligated to deliver a certificate pursuant to </w:t>
      </w:r>
      <w:r>
        <w:rPr>
          <w:rFonts w:ascii="Times New Roman" w:hAnsi="Times New Roman"/>
          <w:color w:val="000000"/>
          <w:sz w:val="24"/>
          <w:u w:val="single"/>
        </w:rPr>
        <w:t>Section 7(l)</w:t>
      </w:r>
      <w:r>
        <w:rPr>
          <w:color w:val="000000"/>
        </w:rPr>
        <w:t xml:space="preserve"> </w:t>
      </w:r>
      <w:r>
        <w:rPr>
          <w:rFonts w:ascii="Times New Roman" w:hAnsi="Times New Roman"/>
          <w:color w:val="000000"/>
          <w:sz w:val="24"/>
        </w:rPr>
        <w:t>for which no waiver is applicable and excluding the date of this Agreement, the chief financial officer of the Company, in his capacity as such, shall have delivered to the Agents a certificate with respect to certain financial and accounting information contained in or incorporated by reference into the Registration Statement and the Prospectus, in form and substance reasonably acceptable to the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Market Activities; Compliance with Regulation M</w:t>
      </w:r>
      <w:r>
        <w:rPr>
          <w:rFonts w:ascii="Times New Roman" w:hAnsi="Times New Roman"/>
          <w:color w:val="000000"/>
          <w:sz w:val="24"/>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No Offer to Sell</w:t>
      </w:r>
      <w:r>
        <w:rPr>
          <w:rFonts w:ascii="Times New Roman" w:hAnsi="Times New Roman"/>
          <w:color w:val="000000"/>
          <w:sz w:val="24"/>
        </w:rPr>
        <w:t xml:space="preserve">.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defined in Rule 405 under the Securities Act), required to be filed with the Commission, that constitutes an offer to sell or solicitation of an offer to buy Placement Shares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Blue Sky and Other Qualifications</w:t>
      </w:r>
      <w:r>
        <w:rPr>
          <w:rFonts w:ascii="Times New Roman" w:hAnsi="Times New Roman"/>
          <w:i/>
          <w:color w:val="000000"/>
          <w:sz w:val="24"/>
        </w:rPr>
        <w:t xml:space="preserve">. </w:t>
      </w:r>
      <w:r>
        <w:rPr>
          <w:rFonts w:ascii="Times New Roman" w:hAnsi="Times New Roman"/>
          <w:color w:val="000000"/>
          <w:sz w:val="24"/>
        </w:rPr>
        <w:t xml:space="preserve">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Sarbanes-Oxley Act</w:t>
      </w:r>
      <w:r>
        <w:rPr>
          <w:rFonts w:ascii="Times New Roman" w:hAnsi="Times New Roman"/>
          <w:color w:val="000000"/>
          <w:sz w:val="24"/>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Secretary’s Certificate; Further Documentation</w:t>
      </w:r>
      <w:r>
        <w:rPr>
          <w:rFonts w:ascii="Times New Roman" w:hAnsi="Times New Roman"/>
          <w:color w:val="000000"/>
          <w:sz w:val="24"/>
        </w:rPr>
        <w:t xml:space="preserve">. On or prior to the date of the first Placement Notice, the Company shall deliver to the Agents a certificate of the Secretary of the Company and attested to by an executive officer of the Company, dated as of such date, certifying as to (i) the articles of incorporation of the Company, (ii) the bylaws of the Company,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Agents such further information, certificates and documents as the Agents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Payment of Expenses</w:t>
      </w:r>
      <w:r>
        <w:rPr>
          <w:rFonts w:ascii="Times New Roman" w:hAnsi="Times New Roman"/>
          <w:color w:val="000000"/>
          <w:sz w:val="24"/>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(including financial statements and exhibits) as originally filed and of each amendment and supplement thereto and each Free Writing Prospectus,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fees and expenses of Agents, including but not limited to the fees and expenses of the counsel to the Agents, payable within 30 days of the execution of this Agreement, (a) in an amount not to exceed $125,000 in connection with the execution of this Agreement, (b) in an amount not to exceed $50,000 per calendar quarter thereafter payable in connection with each Representation Date with respect to which the Company is obligated to deliver a certificate pursuant to </w:t>
      </w:r>
      <w:r>
        <w:rPr>
          <w:rFonts w:ascii="Times New Roman" w:hAnsi="Times New Roman"/>
          <w:color w:val="000000"/>
          <w:sz w:val="24"/>
          <w:u w:val="single"/>
        </w:rPr>
        <w:t>Section 7(l)</w:t>
      </w:r>
      <w:r>
        <w:rPr>
          <w:color w:val="000000"/>
        </w:rPr>
        <w:t xml:space="preserve"> </w:t>
      </w:r>
      <w:r>
        <w:rPr>
          <w:rFonts w:ascii="Times New Roman" w:hAnsi="Times New Roman"/>
          <w:color w:val="000000"/>
          <w:sz w:val="24"/>
        </w:rPr>
        <w:t xml:space="preserve">for which no waiver is applicable and excluding the date of this Agreement, and (c) in an amount not to exceed $125,000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hAnsi="Times New Roman"/>
          <w:color w:val="000000"/>
          <w:sz w:val="24"/>
          <w:u w:val="single"/>
        </w:rPr>
        <w:t>Section 7(r)</w:t>
      </w:r>
      <w:r>
        <w:rPr>
          <w:color w:val="000000"/>
        </w:rPr>
        <w:t xml:space="preserve"> </w:t>
      </w:r>
      <w:r>
        <w:rPr>
          <w:rFonts w:ascii="Times New Roman" w:hAnsi="Times New Roman"/>
          <w:color w:val="000000"/>
          <w:sz w:val="24"/>
        </w:rPr>
        <w:t xml:space="preserve">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w:t>
      </w:r>
      <w:r>
        <w:rPr>
          <w:rFonts w:ascii="Times New Roman" w:hAnsi="Times New Roman"/>
          <w:i/>
          <w:color w:val="000000"/>
          <w:sz w:val="24"/>
        </w:rPr>
        <w:t xml:space="preserve">provided </w:t>
      </w:r>
      <w:r>
        <w:rPr>
          <w:rFonts w:ascii="Times New Roman" w:hAnsi="Times New Roman"/>
          <w:color w:val="000000"/>
          <w:sz w:val="24"/>
        </w:rPr>
        <w:t xml:space="preserve">that such fees do not exceed $10,000, and (xi) the fees and expenses incurred in connection with the listing of the Placement Shares on the Exchange. The Company agrees to pay the fees and expenses of counsel to the Agents set forth in clause (v) above by wire transfer of immediately available funds directly to such counsel upon presentation of an invoice containing the requisite payment information prepared by such counsel.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Conditions to the Agents’ Obligations</w:t>
      </w:r>
      <w:r>
        <w:rPr>
          <w:rFonts w:ascii="Times New Roman" w:hAnsi="Times New Roman"/>
          <w:color w:val="000000"/>
          <w:sz w:val="24"/>
        </w:rPr>
        <w:t xml:space="preserve">. The obligations of each Agent hereunder with respect to a Placement will be subject to the continuing accuracy and completeness of the representations and warranties made by the Company herein, to the due performance by the Company of its obligations hereunder, to the completion by such Agent of a due diligence review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satisfactory to it in its reasonable judgment, and to the continuing satisfaction (or waiver by such Agent in its sole discretion) of the following additional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Registration Statement Effective</w:t>
      </w:r>
      <w:r>
        <w:rPr>
          <w:rFonts w:ascii="Times New Roman" w:hAnsi="Times New Roman"/>
          <w:color w:val="000000"/>
          <w:sz w:val="24"/>
        </w:rPr>
        <w:t>. The Registration Statement shall remain effective and shall be available for the (i) resale of all Placement Shares issued to the Agents and not yet sold by the Agents and (ii) sale of all Placement Shares contemplated to be issued by any Placement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Material Notices</w:t>
      </w:r>
      <w:r>
        <w:rPr>
          <w:rFonts w:ascii="Times New Roman" w:hAnsi="Times New Roman"/>
          <w:color w:val="000000"/>
          <w:sz w:val="24"/>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Incorporated Document untrue or that requires the making of any changes in the Registration Statement, the Prospectus or Incorporated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or any Incorporated Document, it will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 Misstatement or Material Omission</w:t>
      </w:r>
      <w:r>
        <w:rPr>
          <w:rFonts w:ascii="Times New Roman" w:hAnsi="Times New Roman"/>
          <w:color w:val="000000"/>
          <w:sz w:val="24"/>
        </w:rPr>
        <w:t>. No Agent shall have advised the Company that the Registration Statement or Prospectus, or any amendment or supplement thereto, contains an untrue statement of fact that in such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Material Changes</w:t>
      </w:r>
      <w:r>
        <w:rPr>
          <w:rFonts w:ascii="Times New Roman" w:hAnsi="Times New Roman"/>
          <w:color w:val="000000"/>
          <w:sz w:val="24"/>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by any rating organization or a public announcement by any rating organization that it has under surveillance or review its rating of any of the Company’s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Company Counsel Legal Opinions</w:t>
      </w:r>
      <w:r>
        <w:rPr>
          <w:rFonts w:ascii="Times New Roman" w:hAnsi="Times New Roman"/>
          <w:color w:val="000000"/>
          <w:sz w:val="24"/>
        </w:rPr>
        <w:t xml:space="preserve">. The Agents shall have received the opinion and negative assurance letter of Company Counsel required to be delivered pursuant to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u w:val="single"/>
        </w:rPr>
        <w:t>Section 7(m)</w:t>
      </w:r>
      <w:r>
        <w:rPr>
          <w:color w:val="000000"/>
        </w:rPr>
        <w:t xml:space="preserve"> </w:t>
      </w:r>
      <w:r>
        <w:rPr>
          <w:rFonts w:ascii="Times New Roman" w:hAnsi="Times New Roman"/>
          <w:color w:val="000000"/>
          <w:sz w:val="24"/>
        </w:rPr>
        <w:t xml:space="preserve">on or before the date on which such delivery of such opinion and negative assurance letter are required pursuant to </w:t>
      </w:r>
      <w:r>
        <w:rPr>
          <w:rFonts w:ascii="Times New Roman" w:hAnsi="Times New Roman"/>
          <w:color w:val="000000"/>
          <w:sz w:val="24"/>
          <w:u w:val="single"/>
        </w:rPr>
        <w:t>Section 7(m)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Agents Counsel Legal Opinion</w:t>
      </w:r>
      <w:r>
        <w:rPr>
          <w:rFonts w:ascii="Times New Roman" w:hAnsi="Times New Roman"/>
          <w:color w:val="000000"/>
          <w:sz w:val="24"/>
        </w:rPr>
        <w:t>. The Agents shall have received from Davis Polk &amp; Wardwell LLP, counsel for the Agents, an opinion and negative assurance letter, on or before the date on which the delivery of a Company Counsel legal opinion and negative assurance letter is required pursuant to Section 7(m), with respect to such matters as such Agents may reasonably require, and the Company shall have furnished to such counsel such documents as they request for enabling them to pass upon such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Comfort Letter</w:t>
      </w:r>
      <w:r>
        <w:rPr>
          <w:rFonts w:ascii="Times New Roman" w:hAnsi="Times New Roman"/>
          <w:color w:val="000000"/>
          <w:sz w:val="24"/>
        </w:rPr>
        <w:t xml:space="preserve">. The Agents shall have received the Comfort Letter required to be delivered pursuant to </w:t>
      </w:r>
      <w:r>
        <w:rPr>
          <w:rFonts w:ascii="Times New Roman" w:hAnsi="Times New Roman"/>
          <w:color w:val="000000"/>
          <w:sz w:val="24"/>
          <w:u w:val="single"/>
        </w:rPr>
        <w:t>Section 7(n)</w:t>
      </w:r>
      <w:r>
        <w:rPr>
          <w:color w:val="000000"/>
        </w:rPr>
        <w:t xml:space="preserve"> </w:t>
      </w:r>
      <w:r>
        <w:rPr>
          <w:rFonts w:ascii="Times New Roman" w:hAnsi="Times New Roman"/>
          <w:color w:val="000000"/>
          <w:sz w:val="24"/>
        </w:rPr>
        <w:t xml:space="preserve">on or before the date on which such delivery of such Comfort Letter is required pursuant to </w:t>
      </w:r>
      <w:r>
        <w:rPr>
          <w:rFonts w:ascii="Times New Roman" w:hAnsi="Times New Roman"/>
          <w:color w:val="000000"/>
          <w:sz w:val="24"/>
          <w:u w:val="single"/>
        </w:rPr>
        <w:t>Section 7(n)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Representation Certificate</w:t>
      </w:r>
      <w:r>
        <w:rPr>
          <w:rFonts w:ascii="Times New Roman" w:hAnsi="Times New Roman"/>
          <w:color w:val="000000"/>
          <w:sz w:val="24"/>
        </w:rPr>
        <w:t xml:space="preserve">. The Agents shall have received the certificate required to be delivered pursuant to </w:t>
      </w:r>
      <w:r>
        <w:rPr>
          <w:rFonts w:ascii="Times New Roman" w:hAnsi="Times New Roman"/>
          <w:color w:val="000000"/>
          <w:sz w:val="24"/>
          <w:u w:val="single"/>
        </w:rPr>
        <w:t>Section 7(l)</w:t>
      </w:r>
      <w:r>
        <w:rPr>
          <w:color w:val="000000"/>
        </w:rPr>
        <w:t xml:space="preserve"> </w:t>
      </w:r>
      <w:r>
        <w:rPr>
          <w:rFonts w:ascii="Times New Roman" w:hAnsi="Times New Roman"/>
          <w:color w:val="000000"/>
          <w:sz w:val="24"/>
        </w:rPr>
        <w:t xml:space="preserve">on or before the date on which delivery of such certificate is required pursuant to </w:t>
      </w:r>
      <w:r>
        <w:rPr>
          <w:rFonts w:ascii="Times New Roman" w:hAnsi="Times New Roman"/>
          <w:color w:val="000000"/>
          <w:sz w:val="24"/>
          <w:u w:val="single"/>
        </w:rPr>
        <w:t>Section 7(l)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Secretary’s Certificate</w:t>
      </w:r>
      <w:r>
        <w:rPr>
          <w:rFonts w:ascii="Times New Roman" w:hAnsi="Times New Roman"/>
          <w:color w:val="000000"/>
          <w:sz w:val="24"/>
        </w:rPr>
        <w:t>. On or prior to the first Representation Date, the Agents shall have received a certificate, signed on behalf of the Company by its corporate Secretary, in form and substance satisfactory to the Agents and their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No Suspension</w:t>
      </w:r>
      <w:r>
        <w:rPr>
          <w:rFonts w:ascii="Times New Roman" w:hAnsi="Times New Roman"/>
          <w:color w:val="000000"/>
          <w:sz w:val="24"/>
        </w:rPr>
        <w:t>. Trading in the Common Stock shall not have been suspended on the Exchange and the Common Stock shall not have been delisted from the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Other Materials</w:t>
      </w:r>
      <w:r>
        <w:rPr>
          <w:rFonts w:ascii="Times New Roman" w:hAnsi="Times New Roman"/>
          <w:color w:val="000000"/>
          <w:sz w:val="24"/>
        </w:rPr>
        <w:t xml:space="preserve">. On each date on which the Company is required to deliver a certificate pursuant to </w:t>
      </w:r>
      <w:r>
        <w:rPr>
          <w:rFonts w:ascii="Times New Roman" w:hAnsi="Times New Roman"/>
          <w:color w:val="000000"/>
          <w:sz w:val="24"/>
          <w:u w:val="single"/>
        </w:rPr>
        <w:t>Section 7(l)</w:t>
      </w:r>
      <w:r>
        <w:rPr>
          <w:rFonts w:ascii="Times New Roman" w:hAnsi="Times New Roman"/>
          <w:color w:val="000000"/>
          <w:sz w:val="24"/>
        </w:rPr>
        <w:t>, the Company shall have furnished to the Agents such appropriate further information, opinions, certificates, letters and other documents as such Agents may reasonably request. All such opinions, certificates, letters and other documents will be in compliance with the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Securities Act Filings Made</w:t>
      </w:r>
      <w:r>
        <w:rPr>
          <w:rFonts w:ascii="Times New Roman" w:hAnsi="Times New Roman"/>
          <w:color w:val="000000"/>
          <w:sz w:val="24"/>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Approval for Listing</w:t>
      </w:r>
      <w:r>
        <w:rPr>
          <w:rFonts w:ascii="Times New Roman" w:hAnsi="Times New Roman"/>
          <w:color w:val="000000"/>
          <w:sz w:val="24"/>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FINRA</w:t>
      </w:r>
      <w:r>
        <w:rPr>
          <w:rFonts w:ascii="Times New Roman" w:hAnsi="Times New Roman"/>
          <w:color w:val="000000"/>
          <w:sz w:val="24"/>
        </w:rPr>
        <w:t xml:space="preserve">. If applicable, FINRA shall have raised no objection to the terms of this offering and the amount of compensation allowable or payable to the Agents as described in the Prospectus.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No Termination Event</w:t>
      </w:r>
      <w:r>
        <w:rPr>
          <w:rFonts w:ascii="Times New Roman" w:hAnsi="Times New Roman"/>
          <w:color w:val="000000"/>
          <w:sz w:val="24"/>
        </w:rPr>
        <w:t xml:space="preserve">. There shall not have occurred any event that would permit the Agents to terminate this Agreement pursuant to </w:t>
      </w:r>
      <w:r>
        <w:rPr>
          <w:rFonts w:ascii="Times New Roman" w:hAnsi="Times New Roman"/>
          <w:color w:val="000000"/>
          <w:sz w:val="24"/>
          <w:u w:val="single"/>
        </w:rPr>
        <w:t>Section 12(a)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Indemnification and Contribution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Company Indemnification</w:t>
      </w:r>
      <w:r>
        <w:rPr>
          <w:rFonts w:ascii="Times New Roman" w:hAnsi="Times New Roman"/>
          <w:color w:val="000000"/>
          <w:sz w:val="24"/>
        </w:rPr>
        <w:t xml:space="preserve">. The Company agrees to indemnify and hold harmless each of the Agents, their affiliates and their respective partners, members, directors, officers, employees and agents and each person, if any, who controls such Agent or affiliate within the meaning of Section 15 of the Securities Act or Section 20 of the Exchange Act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(subject to </w:t>
      </w:r>
      <w:r>
        <w:rPr>
          <w:rFonts w:ascii="Times New Roman" w:hAnsi="Times New Roman"/>
          <w:color w:val="000000"/>
          <w:sz w:val="24"/>
          <w:u w:val="single"/>
        </w:rPr>
        <w:t>Section 10(d)</w:t>
      </w:r>
      <w:r>
        <w:rPr>
          <w:color w:val="000000"/>
        </w:rPr>
        <w:t xml:space="preserve"> </w:t>
      </w:r>
      <w:r>
        <w:rPr>
          <w:rFonts w:ascii="Times New Roman" w:hAnsi="Times New Roman"/>
          <w:color w:val="000000"/>
          <w:sz w:val="24"/>
        </w:rPr>
        <w:t>below) any such settlement is effected with the written consent of the Company, which consent shall not unreasonably be delayed or withheld;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pStyle w:val="Heading2"/>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this indemnity agreement shall not apply to any loss, liability, claim, damage or expense to the extent arising out of any untrue statement or omission or alleged untrue statement or omission made solely in reliance upon and in conformity with the Agents Information (as defined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Agent Indemnification</w:t>
      </w:r>
      <w:r>
        <w:rPr>
          <w:rFonts w:ascii="Times New Roman" w:hAnsi="Times New Roman"/>
          <w:color w:val="000000"/>
          <w:sz w:val="24"/>
        </w:rPr>
        <w:t xml:space="preserve">. Each of the Agents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hAnsi="Times New Roman"/>
          <w:color w:val="000000"/>
          <w:sz w:val="24"/>
          <w:u w:val="single"/>
        </w:rPr>
        <w:t>Section 10(a)</w:t>
      </w:r>
      <w:r>
        <w:rPr>
          <w:rFonts w:ascii="Times New Roman" w:hAnsi="Times New Roman"/>
          <w:color w:val="000000"/>
          <w:sz w:val="24"/>
        </w:rPr>
        <w:t xml:space="preserve">,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supplement thereto) in reliance upon and in conformity with information relating to the Agents and furnished to the Company in writing by such Agent expressly for use therein. The Company hereby acknowledges that the only information that the Agents have furnished to the Company expressly for use in the Registration Statement, the Prospectus or any Issuer Free Writing Prospectus (or any amendment or supplement thereto) is the name of each such Agent (the “</w:t>
      </w:r>
      <w:r>
        <w:rPr>
          <w:rFonts w:ascii="Times New Roman" w:hAnsi="Times New Roman"/>
          <w:b/>
          <w:color w:val="000000"/>
          <w:sz w:val="24"/>
          <w:u w:val="single"/>
        </w:rPr>
        <w:t>Agent Information</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Procedure</w:t>
      </w:r>
      <w:r>
        <w:rPr>
          <w:rFonts w:ascii="Times New Roman" w:hAnsi="Times New Roman"/>
          <w:color w:val="000000"/>
          <w:sz w:val="24"/>
        </w:rPr>
        <w:t xml:space="preserve">. Any party that proposes to assert the right to be indemnified under this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will, promptly after receipt of notice of commencement of any action against such party in respect of which a claim is to be made against an indemnifying party or parties under this </w:t>
      </w:r>
      <w:r>
        <w:rPr>
          <w:rFonts w:ascii="Times New Roman" w:hAnsi="Times New Roman"/>
          <w:color w:val="000000"/>
          <w:sz w:val="24"/>
          <w:u w:val="single"/>
        </w:rPr>
        <w:t>Section 10</w:t>
      </w:r>
      <w:r>
        <w:rPr>
          <w:rFonts w:ascii="Times New Roman" w:hAnsi="Times New Roman"/>
          <w:color w:val="000000"/>
          <w:sz w:val="24"/>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and (ii) any liability that it may have to any indemnified party under the foregoing provisions of this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the defense of the action, </w:t>
      </w:r>
      <w:r>
        <w:rPr>
          <w:rFonts w:ascii="Times New Roman" w:hAnsi="Times New Roman"/>
          <w:i/>
          <w:color w:val="000000"/>
          <w:sz w:val="24"/>
        </w:rPr>
        <w:t>provided, however</w:t>
      </w:r>
      <w:r>
        <w:rPr>
          <w:rFonts w:ascii="Times New Roman" w:hAnsi="Times New Roman"/>
          <w:color w:val="000000"/>
          <w:sz w:val="24"/>
        </w:rPr>
        <w:t xml:space="preserve">, that counsel to the indemnifying party shall not (except with the prior written consent of the indemnified party) also be counsel to the indemnified party and the indemnifying party shall be responsible for the reasonable and documented costs of investigation subsequently incurred by the indemnified party in connection with such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after the indemnifying party receives notice of such fees, disbursements and other charges.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(whether or not any indemnified party is a party thereto), unless such settlement, compromise or consent (1) includes an express and unconditional release of each indemnified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Settlement Without Consent if Failure to Reimburse</w:t>
      </w:r>
      <w:r>
        <w:rPr>
          <w:rFonts w:ascii="Times New Roman" w:hAnsi="Times New Roman"/>
          <w:i/>
          <w:color w:val="000000"/>
          <w:sz w:val="24"/>
        </w:rPr>
        <w:t xml:space="preserve">. </w:t>
      </w:r>
      <w:r>
        <w:rPr>
          <w:rFonts w:ascii="Times New Roman" w:hAnsi="Times New Roman"/>
          <w:color w:val="000000"/>
          <w:sz w:val="24"/>
        </w:rPr>
        <w:t xml:space="preserve">If an indemnified party shall have requested an indemnifying party to reimburse the indemnified party for reasonable and documented fees and expenses of counsel, such indemnifying party agrees that it shall be liable for any settlement of the nature contemplated by </w:t>
      </w:r>
      <w:r>
        <w:rPr>
          <w:rFonts w:ascii="Times New Roman" w:hAnsi="Times New Roman"/>
          <w:color w:val="000000"/>
          <w:sz w:val="24"/>
          <w:u w:val="single"/>
        </w:rPr>
        <w:t>Section 10(a)(ii)</w:t>
      </w:r>
      <w:r>
        <w:rPr>
          <w:color w:val="000000"/>
        </w:rPr>
        <w:t xml:space="preserve"> </w:t>
      </w:r>
      <w:r>
        <w:rPr>
          <w:rFonts w:ascii="Times New Roman" w:hAnsi="Times New Roman"/>
          <w:color w:val="000000"/>
          <w:sz w:val="24"/>
        </w:rPr>
        <w:t>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Contribution</w:t>
      </w:r>
      <w:r>
        <w:rPr>
          <w:rFonts w:ascii="Times New Roman" w:hAnsi="Times New Roman"/>
          <w:color w:val="000000"/>
          <w:sz w:val="24"/>
        </w:rPr>
        <w:t xml:space="preserve">. In order to provide for just and equitable contribution in circumstances in which the indemnification provided for in the foregoing paragraphs of this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is applicable in accordance with its terms but for any reason is held to be unavailable or insufficient from the Company or the Agents, the Company and the Agents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w:t>
      </w:r>
      <w:r>
        <w:rPr>
          <w:rFonts w:ascii="Times New Roman" w:hAnsi="Times New Roman"/>
          <w:color w:val="000000"/>
          <w:sz w:val="24"/>
          <w:u w:val="single"/>
        </w:rPr>
        <w:t>Section 10(e)</w:t>
      </w:r>
      <w:r>
        <w:rPr>
          <w:color w:val="000000"/>
        </w:rPr>
        <w:t xml:space="preserve"> </w:t>
      </w:r>
      <w:r>
        <w:rPr>
          <w:rFonts w:ascii="Times New Roman" w:hAnsi="Times New Roman"/>
          <w:color w:val="000000"/>
          <w:sz w:val="24"/>
        </w:rPr>
        <w:t xml:space="preserve">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color w:val="000000"/>
          <w:sz w:val="24"/>
          <w:u w:val="single"/>
        </w:rPr>
        <w:t>Section 10(e)</w:t>
      </w:r>
      <w:r>
        <w:rPr>
          <w:color w:val="000000"/>
        </w:rPr>
        <w:t xml:space="preserve"> </w:t>
      </w:r>
      <w:r>
        <w:rPr>
          <w:rFonts w:ascii="Times New Roman" w:hAnsi="Times New Roman"/>
          <w:color w:val="000000"/>
          <w:sz w:val="24"/>
        </w:rPr>
        <w:t xml:space="preserve">shall be deemed to include, for the purpose of this </w:t>
      </w:r>
      <w:r>
        <w:rPr>
          <w:rFonts w:ascii="Times New Roman" w:hAnsi="Times New Roman"/>
          <w:color w:val="000000"/>
          <w:sz w:val="24"/>
          <w:u w:val="single"/>
        </w:rPr>
        <w:t>Section 10(e)</w:t>
      </w:r>
      <w:r>
        <w:rPr>
          <w:rFonts w:ascii="Times New Roman" w:hAnsi="Times New Roman"/>
          <w:color w:val="000000"/>
          <w:sz w:val="24"/>
        </w:rPr>
        <w:t xml:space="preserve">, any legal or other expenses reasonably incurred by such indemnified party in connection with investigating or defending any such action or claim to the extent consistent with </w:t>
      </w:r>
      <w:r>
        <w:rPr>
          <w:rFonts w:ascii="Times New Roman" w:hAnsi="Times New Roman"/>
          <w:color w:val="000000"/>
          <w:sz w:val="24"/>
          <w:u w:val="single"/>
        </w:rPr>
        <w:t>Section 10(c)</w:t>
      </w:r>
      <w:r>
        <w:rPr>
          <w:color w:val="000000"/>
        </w:rPr>
        <w:t xml:space="preserve"> </w:t>
      </w:r>
      <w:r>
        <w:rPr>
          <w:rFonts w:ascii="Times New Roman" w:hAnsi="Times New Roman"/>
          <w:color w:val="000000"/>
          <w:sz w:val="24"/>
        </w:rPr>
        <w:t xml:space="preserve">hereof. Notwithstanding the foregoing provisions of this </w:t>
      </w:r>
      <w:r>
        <w:rPr>
          <w:rFonts w:ascii="Times New Roman" w:hAnsi="Times New Roman"/>
          <w:color w:val="000000"/>
          <w:sz w:val="24"/>
          <w:u w:val="single"/>
        </w:rPr>
        <w:t>Section 10(e)</w:t>
      </w:r>
      <w:r>
        <w:rPr>
          <w:rFonts w:ascii="Times New Roman" w:hAnsi="Times New Roman"/>
          <w:color w:val="000000"/>
          <w:sz w:val="24"/>
        </w:rPr>
        <w:t xml:space="preserve">, the Agents shall not be required to contribute any amount in excess of the commissions received by it under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this Agreement and no person found guilty of fraudulent misrepresentation (within the meaning of </w:t>
      </w:r>
      <w:r>
        <w:rPr>
          <w:rFonts w:ascii="Times New Roman" w:hAnsi="Times New Roman"/>
          <w:color w:val="000000"/>
          <w:sz w:val="24"/>
          <w:u w:val="single"/>
        </w:rPr>
        <w:t>Section 11(f)</w:t>
      </w:r>
      <w:r>
        <w:rPr>
          <w:color w:val="000000"/>
        </w:rPr>
        <w:t xml:space="preserve"> </w:t>
      </w:r>
      <w:r>
        <w:rPr>
          <w:rFonts w:ascii="Times New Roman" w:hAnsi="Times New Roman"/>
          <w:color w:val="000000"/>
          <w:sz w:val="24"/>
        </w:rPr>
        <w:t xml:space="preserve">of the Securities Act) will be entitled to contribution from any person who was not guilty of such fraudulent misrepresentation. For purposes of this </w:t>
      </w:r>
      <w:r>
        <w:rPr>
          <w:rFonts w:ascii="Times New Roman" w:hAnsi="Times New Roman"/>
          <w:color w:val="000000"/>
          <w:sz w:val="24"/>
          <w:u w:val="single"/>
        </w:rPr>
        <w:t>Section 10(e)</w:t>
      </w:r>
      <w:r>
        <w:rPr>
          <w:rFonts w:ascii="Times New Roman" w:hAnsi="Times New Roman"/>
          <w:color w:val="000000"/>
          <w:sz w:val="24"/>
        </w:rPr>
        <w:t xml:space="preserve">, any person who controls a party to this Agreement within the meaning of the Securities Act, any affiliates of the Agents and any officers, directors, partners, employees or agents of the Agents or any of their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color w:val="000000"/>
          <w:sz w:val="24"/>
          <w:u w:val="single"/>
        </w:rPr>
        <w:t>Section 10(e)</w:t>
      </w:r>
      <w:r>
        <w:rPr>
          <w:rFonts w:ascii="Times New Roman" w:hAnsi="Times New Roman"/>
          <w:color w:val="000000"/>
          <w:sz w:val="24"/>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color w:val="000000"/>
          <w:sz w:val="24"/>
          <w:u w:val="single"/>
        </w:rPr>
        <w:t>Section 10(e)</w:t>
      </w:r>
      <w:r>
        <w:rPr>
          <w:color w:val="000000"/>
        </w:rPr>
        <w:t xml:space="preserve"> </w:t>
      </w:r>
      <w:r>
        <w:rPr>
          <w:rFonts w:ascii="Times New Roman" w:hAnsi="Times New Roman"/>
          <w:color w:val="000000"/>
          <w:sz w:val="24"/>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color w:val="000000"/>
          <w:sz w:val="24"/>
          <w:u w:val="single"/>
        </w:rPr>
        <w:t>Section 10(c)</w:t>
      </w:r>
      <w:r>
        <w:rPr>
          <w:color w:val="000000"/>
        </w:rPr>
        <w:t xml:space="preserve"> </w:t>
      </w:r>
      <w:r>
        <w:rPr>
          <w:rFonts w:ascii="Times New Roman" w:hAnsi="Times New Roman"/>
          <w:color w:val="000000"/>
          <w:sz w:val="24"/>
        </w:rPr>
        <w:t xml:space="preserve">hereof, no party will be liable for contribution with respect to any action or claim settled without its written consent if such consent is required pursuant to </w:t>
      </w:r>
      <w:r>
        <w:rPr>
          <w:rFonts w:ascii="Times New Roman" w:hAnsi="Times New Roman"/>
          <w:color w:val="000000"/>
          <w:sz w:val="24"/>
          <w:u w:val="single"/>
        </w:rPr>
        <w:t>Section 10(c)</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Representations and Agreements to Survive Delivery</w:t>
      </w:r>
      <w:r>
        <w:rPr>
          <w:rFonts w:ascii="Times New Roman" w:hAnsi="Times New Roman"/>
          <w:color w:val="000000"/>
          <w:sz w:val="24"/>
        </w:rPr>
        <w:t xml:space="preserve">. The indemnity and contribution agreements contained in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employees or controlling persons), (ii) delivery and acceptance of the Placement Shares and payment therefor or (iii) any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of the Agents may terminate this Agreement, with respect to itself,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 xml:space="preserve">(Payment of Expenses),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(Indemnification and Contribution),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(Representations and Agreements to Survive Delivery),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(Governing Law and Time; Waiver of Jury Trial) and </w:t>
      </w:r>
      <w:r>
        <w:rPr>
          <w:rFonts w:ascii="Times New Roman" w:hAnsi="Times New Roman"/>
          <w:color w:val="000000"/>
          <w:sz w:val="24"/>
          <w:u w:val="single"/>
        </w:rPr>
        <w:t>Section 18</w:t>
      </w:r>
      <w:r>
        <w:rPr>
          <w:color w:val="000000"/>
        </w:rPr>
        <w:t xml:space="preserve"> </w:t>
      </w:r>
      <w:r>
        <w:rPr>
          <w:rFonts w:ascii="Times New Roman" w:hAnsi="Times New Roman"/>
          <w:color w:val="000000"/>
          <w:sz w:val="24"/>
        </w:rPr>
        <w:t xml:space="preserve">(Consent to Jurisdiction) hereof shall remain in full force and effect notwithstanding such termination. If the Agents elect to terminate this Agreement as provided in this </w:t>
      </w:r>
      <w:r>
        <w:rPr>
          <w:rFonts w:ascii="Times New Roman" w:hAnsi="Times New Roman"/>
          <w:color w:val="000000"/>
          <w:sz w:val="24"/>
          <w:u w:val="single"/>
        </w:rPr>
        <w:t>Section 12(a)</w:t>
      </w:r>
      <w:r>
        <w:rPr>
          <w:rFonts w:ascii="Times New Roman" w:hAnsi="Times New Roman"/>
          <w:color w:val="000000"/>
          <w:sz w:val="24"/>
        </w:rPr>
        <w:t xml:space="preserve">, the Agents shall provide the required notice as specified in </w:t>
      </w:r>
      <w:r>
        <w:rPr>
          <w:rFonts w:ascii="Times New Roman" w:hAnsi="Times New Roman"/>
          <w:color w:val="000000"/>
          <w:sz w:val="24"/>
          <w:u w:val="single"/>
        </w:rPr>
        <w:t>Section 13</w:t>
      </w:r>
      <w:r>
        <w:rPr>
          <w:color w:val="000000"/>
        </w:rPr>
        <w:t xml:space="preserve"> </w:t>
      </w:r>
      <w:r>
        <w:rPr>
          <w:rFonts w:ascii="Times New Roman" w:hAnsi="Times New Roman"/>
          <w:color w:val="000000"/>
          <w:sz w:val="24"/>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 xml:space="preserve">(Payment of Expenses),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(Indemnification and Contribution),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(Representations and Agreements to Survive Delivery),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(Governing Law and Time; Waiver of Jury Trial) and </w:t>
      </w:r>
      <w:r>
        <w:rPr>
          <w:rFonts w:ascii="Times New Roman" w:hAnsi="Times New Roman"/>
          <w:color w:val="000000"/>
          <w:sz w:val="24"/>
          <w:u w:val="single"/>
        </w:rPr>
        <w:t>Section 18</w:t>
      </w:r>
      <w:r>
        <w:rPr>
          <w:color w:val="000000"/>
        </w:rPr>
        <w:t xml:space="preserve"> </w:t>
      </w:r>
      <w:r>
        <w:rPr>
          <w:rFonts w:ascii="Times New Roman" w:hAnsi="Times New Roman"/>
          <w:color w:val="000000"/>
          <w:sz w:val="24"/>
        </w:rPr>
        <w:t>(Consent to Jurisdiction) hereof shall remain in full force and effect notwithstanding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Each of the Agents shall have the right, by giving ten (10) days’ notice as hereinafter specified to terminate this Agreement in its sole discretion at any time after the date of this Agreement with respect to such Agent, which termination shall not affect the validity of this Agreement with respect to any other Agent. Any such termination by an Agent shall be without liability of any party to any other party except that the provisions of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 xml:space="preserve">(Payment of Expenses),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(Indemnification and Contribution),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(Representations and Agreements to Survive Delivery),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(Governing Law and Time; Waiver of Jury Trial) and </w:t>
      </w:r>
      <w:r>
        <w:rPr>
          <w:rFonts w:ascii="Times New Roman" w:hAnsi="Times New Roman"/>
          <w:color w:val="000000"/>
          <w:sz w:val="24"/>
          <w:u w:val="single"/>
        </w:rPr>
        <w:t>Section 18</w:t>
      </w:r>
      <w:r>
        <w:rPr>
          <w:color w:val="000000"/>
        </w:rPr>
        <w:t xml:space="preserve"> </w:t>
      </w:r>
      <w:r>
        <w:rPr>
          <w:rFonts w:ascii="Times New Roman" w:hAnsi="Times New Roman"/>
          <w:color w:val="000000"/>
          <w:sz w:val="24"/>
        </w:rPr>
        <w:t>(Consent to Jurisdiction) hereof shall remain in full force and effect notwithstanding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This Agreement shall remain in full force and effect unless terminated pursuant to </w:t>
      </w:r>
      <w:r>
        <w:rPr>
          <w:rFonts w:ascii="Times New Roman" w:hAnsi="Times New Roman"/>
          <w:color w:val="000000"/>
          <w:sz w:val="24"/>
          <w:u w:val="single"/>
        </w:rPr>
        <w:t>Sections 12(a)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above or otherwise by mutual agreement of the parties;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any such termination by mutual agreement shall in all cases be deemed to provide that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 xml:space="preserve">(Payment of Expenses), </w:t>
      </w:r>
      <w:r>
        <w:rPr>
          <w:rFonts w:ascii="Times New Roman" w:hAnsi="Times New Roman"/>
          <w:color w:val="000000"/>
          <w:sz w:val="24"/>
          <w:u w:val="single"/>
        </w:rPr>
        <w:t>Section 10</w:t>
      </w:r>
      <w:r>
        <w:rPr>
          <w:color w:val="000000"/>
        </w:rPr>
        <w:t xml:space="preserve"> </w:t>
      </w:r>
      <w:r>
        <w:rPr>
          <w:rFonts w:ascii="Times New Roman" w:hAnsi="Times New Roman"/>
          <w:color w:val="000000"/>
          <w:sz w:val="24"/>
        </w:rPr>
        <w:t xml:space="preserve">(Indemnification and Contribution),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(Representations and Agreements to Survive Delivery),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(Governing Law and Time; Waiver of Jury Trial) and </w:t>
      </w:r>
      <w:r>
        <w:rPr>
          <w:rFonts w:ascii="Times New Roman" w:hAnsi="Times New Roman"/>
          <w:color w:val="000000"/>
          <w:sz w:val="24"/>
          <w:u w:val="single"/>
        </w:rPr>
        <w:t>Section 18</w:t>
      </w:r>
      <w:r>
        <w:rPr>
          <w:color w:val="000000"/>
        </w:rPr>
        <w:t xml:space="preserve"> </w:t>
      </w:r>
      <w:r>
        <w:rPr>
          <w:rFonts w:ascii="Times New Roman" w:hAnsi="Times New Roman"/>
          <w:color w:val="000000"/>
          <w:sz w:val="24"/>
        </w:rPr>
        <w:t>(Consent to Jurisdiction) hereof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Any termination of this Agreement shall be effective on the date specified in such notice of termination;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xml:space="preserve">. All notices or other communications required or permitted to be given by any party to any other party pursuant to the terms of this Agreement shall be in writing, unless otherwise specified, and if sent to the Agents, shall be delivered to: </w:t>
      </w:r>
    </w:p>
    <w:p>
      <w:pPr>
        <w:pStyle w:val="TextBody"/>
        <w:bidi w:val="0"/>
        <w:jc w:val="both"/>
        <w:rPr>
          <w:rFonts w:ascii="Times New Roman" w:hAnsi="Times New Roman"/>
          <w:color w:val="000000"/>
          <w:sz w:val="24"/>
        </w:rPr>
      </w:pPr>
      <w:r>
        <w:rPr>
          <w:rFonts w:ascii="Times New Roman" w:hAnsi="Times New Roman"/>
          <w:color w:val="000000"/>
          <w:sz w:val="24"/>
        </w:rPr>
        <w:t>Morgan Stanley &amp; Co. LLC</w:t>
      </w:r>
    </w:p>
    <w:p>
      <w:pPr>
        <w:pStyle w:val="TextBody"/>
        <w:bidi w:val="0"/>
        <w:jc w:val="both"/>
        <w:rPr>
          <w:rFonts w:ascii="Times New Roman" w:hAnsi="Times New Roman"/>
          <w:sz w:val="20"/>
        </w:rPr>
      </w:pPr>
      <w:r>
        <w:rPr>
          <w:rFonts w:ascii="Times New Roman" w:hAnsi="Times New Roman"/>
          <w:color w:val="000000"/>
          <w:sz w:val="24"/>
        </w:rPr>
        <w:t>1585 Broadway, 29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New York, New York 10036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Attention: Equity Syndicate Desk</w:t>
      </w:r>
    </w:p>
    <w:p>
      <w:pPr>
        <w:pStyle w:val="TextBody"/>
        <w:bidi w:val="0"/>
        <w:jc w:val="both"/>
        <w:rPr>
          <w:rFonts w:ascii="Times New Roman" w:hAnsi="Times New Roman"/>
          <w:sz w:val="20"/>
        </w:rPr>
      </w:pPr>
      <w:r>
        <w:rPr>
          <w:rFonts w:ascii="Times New Roman" w:hAnsi="Times New Roman"/>
          <w:color w:val="000000"/>
          <w:sz w:val="24"/>
        </w:rPr>
        <w:t>Cantor Fitzgerald &amp; Co.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110 East 59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Street</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jc w:val="both"/>
        <w:rPr>
          <w:rFonts w:ascii="Times New Roman" w:hAnsi="Times New Roman"/>
          <w:color w:val="000000"/>
          <w:sz w:val="24"/>
        </w:rPr>
      </w:pPr>
      <w:r>
        <w:rPr>
          <w:rFonts w:ascii="Times New Roman" w:hAnsi="Times New Roman"/>
          <w:color w:val="000000"/>
          <w:sz w:val="24"/>
        </w:rPr>
        <w:t>Attention: Capital Markets</w:t>
      </w:r>
    </w:p>
    <w:p>
      <w:pPr>
        <w:pStyle w:val="TextBody"/>
        <w:bidi w:val="0"/>
        <w:jc w:val="both"/>
        <w:rPr>
          <w:rFonts w:ascii="Times New Roman" w:hAnsi="Times New Roman"/>
          <w:color w:val="000000"/>
          <w:sz w:val="24"/>
        </w:rPr>
      </w:pPr>
      <w:r>
        <w:rPr>
          <w:rFonts w:ascii="Times New Roman" w:hAnsi="Times New Roman"/>
          <w:color w:val="000000"/>
          <w:sz w:val="24"/>
        </w:rPr>
        <w:t>Email: CFCEO@cantor.com</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TD Securities (USA) LLC</w:t>
      </w:r>
    </w:p>
    <w:p>
      <w:pPr>
        <w:pStyle w:val="TextBody"/>
        <w:bidi w:val="0"/>
        <w:jc w:val="both"/>
        <w:rPr>
          <w:rFonts w:ascii="Times New Roman" w:hAnsi="Times New Roman"/>
          <w:color w:val="000000"/>
          <w:sz w:val="24"/>
        </w:rPr>
      </w:pPr>
      <w:r>
        <w:rPr>
          <w:rFonts w:ascii="Times New Roman" w:hAnsi="Times New Roman"/>
          <w:color w:val="000000"/>
          <w:sz w:val="24"/>
        </w:rPr>
        <w:t>1 Vanderbilt Avenue</w:t>
      </w:r>
    </w:p>
    <w:p>
      <w:pPr>
        <w:pStyle w:val="TextBody"/>
        <w:bidi w:val="0"/>
        <w:jc w:val="both"/>
        <w:rPr>
          <w:rFonts w:ascii="Times New Roman" w:hAnsi="Times New Roman"/>
          <w:color w:val="000000"/>
          <w:sz w:val="24"/>
        </w:rPr>
      </w:pPr>
      <w:r>
        <w:rPr>
          <w:rFonts w:ascii="Times New Roman" w:hAnsi="Times New Roman"/>
          <w:color w:val="000000"/>
          <w:sz w:val="24"/>
        </w:rPr>
        <w:t>New York, New York 10017</w:t>
      </w:r>
    </w:p>
    <w:p>
      <w:pPr>
        <w:pStyle w:val="TextBody"/>
        <w:bidi w:val="0"/>
        <w:jc w:val="both"/>
        <w:rPr>
          <w:rFonts w:ascii="Times New Roman" w:hAnsi="Times New Roman"/>
          <w:color w:val="000000"/>
          <w:sz w:val="24"/>
        </w:rPr>
      </w:pPr>
      <w:r>
        <w:rPr>
          <w:rFonts w:ascii="Times New Roman" w:hAnsi="Times New Roman"/>
          <w:color w:val="000000"/>
          <w:sz w:val="24"/>
        </w:rPr>
        <w:t>Facsimile: (646) 562-1124</w:t>
      </w:r>
    </w:p>
    <w:p>
      <w:pPr>
        <w:pStyle w:val="TextBody"/>
        <w:bidi w:val="0"/>
        <w:jc w:val="both"/>
        <w:rPr>
          <w:rFonts w:ascii="Times New Roman" w:hAnsi="Times New Roman"/>
          <w:color w:val="000000"/>
          <w:sz w:val="24"/>
        </w:rPr>
      </w:pPr>
      <w:r>
        <w:rPr>
          <w:rFonts w:ascii="Times New Roman" w:hAnsi="Times New Roman"/>
          <w:color w:val="000000"/>
          <w:sz w:val="24"/>
        </w:rPr>
        <w:t>Attention: Head of Equity Capital Markets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Allen &amp; Company LLC</w:t>
      </w:r>
    </w:p>
    <w:p>
      <w:pPr>
        <w:pStyle w:val="TextBody"/>
        <w:bidi w:val="0"/>
        <w:jc w:val="both"/>
        <w:rPr>
          <w:rFonts w:ascii="Times New Roman" w:hAnsi="Times New Roman"/>
          <w:color w:val="000000"/>
          <w:sz w:val="24"/>
        </w:rPr>
      </w:pPr>
      <w:r>
        <w:rPr>
          <w:rFonts w:ascii="Times New Roman" w:hAnsi="Times New Roman"/>
          <w:color w:val="000000"/>
          <w:sz w:val="24"/>
        </w:rPr>
        <w:t>711 Fifth Avenue</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jc w:val="both"/>
        <w:rPr>
          <w:rFonts w:ascii="Times New Roman" w:hAnsi="Times New Roman"/>
          <w:color w:val="000000"/>
          <w:sz w:val="24"/>
        </w:rPr>
      </w:pPr>
      <w:r>
        <w:rPr>
          <w:rFonts w:ascii="Times New Roman" w:hAnsi="Times New Roman"/>
          <w:color w:val="000000"/>
          <w:sz w:val="24"/>
        </w:rPr>
        <w:t>Attention: Prospectus Department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w:t>
      </w:r>
    </w:p>
    <w:p>
      <w:pPr>
        <w:pStyle w:val="TextBody"/>
        <w:bidi w:val="0"/>
        <w:jc w:val="both"/>
        <w:rPr>
          <w:rFonts w:ascii="Times New Roman" w:hAnsi="Times New Roman"/>
          <w:sz w:val="20"/>
        </w:rPr>
      </w:pPr>
      <w:r>
        <w:rPr>
          <w:rFonts w:ascii="Times New Roman" w:hAnsi="Times New Roman"/>
          <w:color w:val="000000"/>
          <w:sz w:val="24"/>
        </w:rPr>
        <w:t>Cantor Fitzgerald &amp; Co.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110 East 59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Street</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jc w:val="both"/>
        <w:rPr>
          <w:rFonts w:ascii="Times New Roman" w:hAnsi="Times New Roman"/>
          <w:color w:val="000000"/>
          <w:sz w:val="24"/>
        </w:rPr>
      </w:pPr>
      <w:r>
        <w:rPr>
          <w:rFonts w:ascii="Times New Roman" w:hAnsi="Times New Roman"/>
          <w:color w:val="000000"/>
          <w:sz w:val="24"/>
        </w:rPr>
        <w:t>Attention: General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legal-IBD@cantor.com</w:t>
      </w:r>
    </w:p>
    <w:p>
      <w:pPr>
        <w:pStyle w:val="TextBody"/>
        <w:bidi w:val="0"/>
        <w:jc w:val="both"/>
        <w:rPr>
          <w:rFonts w:ascii="Times New Roman" w:hAnsi="Times New Roman"/>
          <w:color w:val="000000"/>
          <w:sz w:val="24"/>
        </w:rPr>
      </w:pPr>
      <w:r>
        <w:rPr>
          <w:rFonts w:ascii="Times New Roman" w:hAnsi="Times New Roman"/>
          <w:color w:val="000000"/>
          <w:sz w:val="24"/>
        </w:rPr>
        <w:t>Morgan Stanley &amp; Co. LLC</w:t>
      </w:r>
    </w:p>
    <w:p>
      <w:pPr>
        <w:pStyle w:val="TextBody"/>
        <w:bidi w:val="0"/>
        <w:jc w:val="both"/>
        <w:rPr>
          <w:rFonts w:ascii="Times New Roman" w:hAnsi="Times New Roman"/>
          <w:sz w:val="20"/>
        </w:rPr>
      </w:pPr>
      <w:r>
        <w:rPr>
          <w:rFonts w:ascii="Times New Roman" w:hAnsi="Times New Roman"/>
          <w:color w:val="000000"/>
          <w:sz w:val="24"/>
        </w:rPr>
        <w:t>1585 Broadway, 29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both"/>
        <w:rPr>
          <w:rFonts w:ascii="Times New Roman" w:hAnsi="Times New Roman"/>
          <w:color w:val="000000"/>
          <w:sz w:val="24"/>
        </w:rPr>
      </w:pPr>
      <w:r>
        <w:rPr>
          <w:rFonts w:ascii="Times New Roman" w:hAnsi="Times New Roman"/>
          <w:color w:val="000000"/>
          <w:sz w:val="24"/>
        </w:rPr>
        <w:t>New York, New York 10036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Attention: Legal Department</w:t>
      </w:r>
    </w:p>
    <w:p>
      <w:pPr>
        <w:pStyle w:val="TextBody"/>
        <w:bidi w:val="0"/>
        <w:jc w:val="both"/>
        <w:rPr>
          <w:rFonts w:ascii="Times New Roman" w:hAnsi="Times New Roman"/>
          <w:color w:val="000000"/>
          <w:sz w:val="24"/>
        </w:rPr>
      </w:pPr>
      <w:r>
        <w:rPr>
          <w:rFonts w:ascii="Times New Roman" w:hAnsi="Times New Roman"/>
          <w:color w:val="000000"/>
          <w:sz w:val="24"/>
        </w:rPr>
        <w:t>TD Securities (USA) LLC</w:t>
      </w:r>
    </w:p>
    <w:p>
      <w:pPr>
        <w:pStyle w:val="TextBody"/>
        <w:bidi w:val="0"/>
        <w:jc w:val="both"/>
        <w:rPr>
          <w:rFonts w:ascii="Times New Roman" w:hAnsi="Times New Roman"/>
          <w:color w:val="000000"/>
          <w:sz w:val="24"/>
        </w:rPr>
      </w:pPr>
      <w:r>
        <w:rPr>
          <w:rFonts w:ascii="Times New Roman" w:hAnsi="Times New Roman"/>
          <w:color w:val="000000"/>
          <w:sz w:val="24"/>
        </w:rPr>
        <w:t>1 Vanderbilt Avenue</w:t>
      </w:r>
    </w:p>
    <w:p>
      <w:pPr>
        <w:pStyle w:val="TextBody"/>
        <w:bidi w:val="0"/>
        <w:jc w:val="both"/>
        <w:rPr>
          <w:rFonts w:ascii="Times New Roman" w:hAnsi="Times New Roman"/>
          <w:color w:val="000000"/>
          <w:sz w:val="24"/>
        </w:rPr>
      </w:pPr>
      <w:r>
        <w:rPr>
          <w:rFonts w:ascii="Times New Roman" w:hAnsi="Times New Roman"/>
          <w:color w:val="000000"/>
          <w:sz w:val="24"/>
        </w:rPr>
        <w:t>New York, New York 10017</w:t>
      </w:r>
    </w:p>
    <w:p>
      <w:pPr>
        <w:pStyle w:val="TextBody"/>
        <w:bidi w:val="0"/>
        <w:jc w:val="both"/>
        <w:rPr>
          <w:rFonts w:ascii="Times New Roman" w:hAnsi="Times New Roman"/>
          <w:color w:val="000000"/>
          <w:sz w:val="24"/>
        </w:rPr>
      </w:pPr>
      <w:r>
        <w:rPr>
          <w:rFonts w:ascii="Times New Roman" w:hAnsi="Times New Roman"/>
          <w:color w:val="000000"/>
          <w:sz w:val="24"/>
        </w:rPr>
        <w:t>Facsimile: (646) 562-1124</w:t>
      </w:r>
    </w:p>
    <w:p>
      <w:pPr>
        <w:pStyle w:val="TextBody"/>
        <w:bidi w:val="0"/>
        <w:jc w:val="both"/>
        <w:rPr>
          <w:rFonts w:ascii="Times New Roman" w:hAnsi="Times New Roman"/>
          <w:color w:val="000000"/>
          <w:sz w:val="24"/>
        </w:rPr>
      </w:pPr>
      <w:r>
        <w:rPr>
          <w:rFonts w:ascii="Times New Roman" w:hAnsi="Times New Roman"/>
          <w:color w:val="000000"/>
          <w:sz w:val="24"/>
        </w:rPr>
        <w:t>E-mail: CIBLegal@tdsecurities.com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Attention: General Counsel</w:t>
      </w:r>
    </w:p>
    <w:p>
      <w:pPr>
        <w:pStyle w:val="TextBody"/>
        <w:bidi w:val="0"/>
        <w:jc w:val="both"/>
        <w:rPr>
          <w:rFonts w:ascii="Times New Roman" w:hAnsi="Times New Roman"/>
          <w:color w:val="000000"/>
          <w:sz w:val="24"/>
        </w:rPr>
      </w:pPr>
      <w:r>
        <w:rPr>
          <w:rFonts w:ascii="Times New Roman" w:hAnsi="Times New Roman"/>
          <w:color w:val="000000"/>
          <w:sz w:val="24"/>
        </w:rPr>
        <w:t>Allen &amp; Company LLC</w:t>
      </w:r>
    </w:p>
    <w:p>
      <w:pPr>
        <w:pStyle w:val="TextBody"/>
        <w:bidi w:val="0"/>
        <w:jc w:val="both"/>
        <w:rPr>
          <w:rFonts w:ascii="Times New Roman" w:hAnsi="Times New Roman"/>
          <w:color w:val="000000"/>
          <w:sz w:val="24"/>
        </w:rPr>
      </w:pPr>
      <w:r>
        <w:rPr>
          <w:rFonts w:ascii="Times New Roman" w:hAnsi="Times New Roman"/>
          <w:color w:val="000000"/>
          <w:sz w:val="24"/>
        </w:rPr>
        <w:t>711 Fifth Avenue</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Attention: Legal Department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a copy to:</w:t>
      </w:r>
    </w:p>
    <w:p>
      <w:pPr>
        <w:pStyle w:val="TextBody"/>
        <w:bidi w:val="0"/>
        <w:jc w:val="both"/>
        <w:rPr>
          <w:rFonts w:ascii="Times New Roman" w:hAnsi="Times New Roman"/>
          <w:color w:val="000000"/>
          <w:sz w:val="24"/>
        </w:rPr>
      </w:pPr>
      <w:r>
        <w:rPr>
          <w:rFonts w:ascii="Times New Roman" w:hAnsi="Times New Roman"/>
          <w:color w:val="000000"/>
          <w:sz w:val="24"/>
        </w:rPr>
        <w:t>Davis Polk &amp; Wardwell LLP</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900 Middlefield Road, Suite 200</w:t>
      </w:r>
    </w:p>
    <w:p>
      <w:pPr>
        <w:pStyle w:val="TextBody"/>
        <w:bidi w:val="0"/>
        <w:jc w:val="both"/>
        <w:rPr>
          <w:rFonts w:ascii="Times New Roman" w:hAnsi="Times New Roman"/>
          <w:color w:val="000000"/>
          <w:sz w:val="24"/>
        </w:rPr>
      </w:pPr>
      <w:r>
        <w:rPr>
          <w:rFonts w:ascii="Times New Roman" w:hAnsi="Times New Roman"/>
          <w:color w:val="000000"/>
          <w:sz w:val="24"/>
        </w:rPr>
        <w:t>Redwood City, California 94063</w:t>
      </w:r>
    </w:p>
    <w:p>
      <w:pPr>
        <w:pStyle w:val="TextBody"/>
        <w:bidi w:val="0"/>
        <w:jc w:val="both"/>
        <w:rPr>
          <w:rFonts w:ascii="Times New Roman" w:hAnsi="Times New Roman"/>
          <w:color w:val="000000"/>
          <w:sz w:val="24"/>
        </w:rPr>
      </w:pPr>
      <w:r>
        <w:rPr>
          <w:rFonts w:ascii="Times New Roman" w:hAnsi="Times New Roman"/>
          <w:color w:val="000000"/>
          <w:sz w:val="24"/>
        </w:rPr>
        <w:t>Attention: Alan F. Denenberg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alan.denenberg@davispolk.com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if to the Company, shall be delivered to:</w:t>
      </w:r>
    </w:p>
    <w:p>
      <w:pPr>
        <w:pStyle w:val="TextBody"/>
        <w:bidi w:val="0"/>
        <w:jc w:val="both"/>
        <w:rPr>
          <w:rFonts w:ascii="Times New Roman" w:hAnsi="Times New Roman"/>
          <w:color w:val="000000"/>
          <w:sz w:val="24"/>
        </w:rPr>
      </w:pPr>
      <w:r>
        <w:rPr>
          <w:rFonts w:ascii="Times New Roman" w:hAnsi="Times New Roman"/>
          <w:color w:val="000000"/>
          <w:sz w:val="24"/>
        </w:rPr>
        <w:t>Tempus AI, Inc.</w:t>
      </w:r>
    </w:p>
    <w:p>
      <w:pPr>
        <w:pStyle w:val="TextBody"/>
        <w:bidi w:val="0"/>
        <w:jc w:val="both"/>
        <w:rPr>
          <w:rFonts w:ascii="Times New Roman" w:hAnsi="Times New Roman"/>
          <w:color w:val="000000"/>
          <w:sz w:val="24"/>
        </w:rPr>
      </w:pPr>
      <w:r>
        <w:rPr>
          <w:rFonts w:ascii="Times New Roman" w:hAnsi="Times New Roman"/>
          <w:color w:val="000000"/>
          <w:sz w:val="24"/>
        </w:rPr>
        <w:t>600 West Chicago Avenue, Suite 510</w:t>
      </w:r>
    </w:p>
    <w:p>
      <w:pPr>
        <w:pStyle w:val="TextBody"/>
        <w:bidi w:val="0"/>
        <w:jc w:val="both"/>
        <w:rPr>
          <w:rFonts w:ascii="Times New Roman" w:hAnsi="Times New Roman"/>
          <w:color w:val="000000"/>
          <w:sz w:val="24"/>
        </w:rPr>
      </w:pPr>
      <w:r>
        <w:rPr>
          <w:rFonts w:ascii="Times New Roman" w:hAnsi="Times New Roman"/>
          <w:color w:val="000000"/>
          <w:sz w:val="24"/>
        </w:rPr>
        <w:t>Chicago, Illinois 60654</w:t>
      </w:r>
    </w:p>
    <w:p>
      <w:pPr>
        <w:pStyle w:val="TextBody"/>
        <w:bidi w:val="0"/>
        <w:jc w:val="both"/>
        <w:rPr>
          <w:rFonts w:ascii="Times New Roman" w:hAnsi="Times New Roman"/>
          <w:color w:val="000000"/>
          <w:sz w:val="24"/>
        </w:rPr>
      </w:pPr>
      <w:r>
        <w:rPr>
          <w:rFonts w:ascii="Times New Roman" w:hAnsi="Times New Roman"/>
          <w:color w:val="000000"/>
          <w:sz w:val="24"/>
        </w:rPr>
        <w:t>Attention: Legal Department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w:t>
      </w:r>
    </w:p>
    <w:p>
      <w:pPr>
        <w:pStyle w:val="Heading1"/>
        <w:bidi w:val="0"/>
        <w:spacing w:before="0" w:after="240"/>
        <w:jc w:val="both"/>
        <w:rPr>
          <w:rFonts w:ascii="Times New Roman" w:hAnsi="Times New Roman"/>
          <w:color w:val="000000"/>
          <w:sz w:val="24"/>
        </w:rPr>
      </w:pPr>
      <w:r>
        <w:rPr>
          <w:rFonts w:ascii="Times New Roman" w:hAnsi="Times New Roman"/>
          <w:color w:val="000000"/>
          <w:sz w:val="24"/>
        </w:rPr>
        <w:t>with a copy to:</w:t>
      </w:r>
    </w:p>
    <w:p>
      <w:pPr>
        <w:pStyle w:val="TextBody"/>
        <w:bidi w:val="0"/>
        <w:jc w:val="both"/>
        <w:rPr>
          <w:rFonts w:ascii="Times New Roman" w:hAnsi="Times New Roman"/>
          <w:color w:val="000000"/>
          <w:sz w:val="24"/>
        </w:rPr>
      </w:pPr>
      <w:r>
        <w:rPr>
          <w:rFonts w:ascii="Times New Roman" w:hAnsi="Times New Roman"/>
          <w:color w:val="000000"/>
          <w:sz w:val="24"/>
        </w:rPr>
        <w:t>Cooley LLP</w:t>
      </w:r>
    </w:p>
    <w:p>
      <w:pPr>
        <w:pStyle w:val="TextBody"/>
        <w:bidi w:val="0"/>
        <w:jc w:val="left"/>
        <w:rPr>
          <w:rFonts w:ascii="Times New Roman" w:hAnsi="Times New Roman"/>
          <w:color w:val="000000"/>
          <w:sz w:val="24"/>
        </w:rPr>
      </w:pPr>
      <w:r>
        <w:rPr>
          <w:rFonts w:ascii="Times New Roman" w:hAnsi="Times New Roman"/>
          <w:color w:val="000000"/>
          <w:sz w:val="24"/>
        </w:rPr>
        <w:t>110 N. Wacker Drive</w:t>
        <w:br/>
        <w:t>Suite 4200</w:t>
        <w:br/>
        <w:t>Chicago, IL 60606-1511</w:t>
      </w:r>
    </w:p>
    <w:p>
      <w:pPr>
        <w:pStyle w:val="TextBody"/>
        <w:bidi w:val="0"/>
        <w:jc w:val="left"/>
        <w:rPr>
          <w:rFonts w:ascii="Times New Roman" w:hAnsi="Times New Roman"/>
          <w:color w:val="000000"/>
          <w:sz w:val="24"/>
        </w:rPr>
      </w:pPr>
      <w:r>
        <w:rPr>
          <w:rFonts w:ascii="Times New Roman" w:hAnsi="Times New Roman"/>
          <w:color w:val="000000"/>
          <w:sz w:val="24"/>
        </w:rPr>
        <w:t>Attention: Christina Roupas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E-mail: croupas@cooley.com</w:t>
      </w:r>
    </w:p>
    <w:p>
      <w:pPr>
        <w:pStyle w:val="TextBody"/>
        <w:bidi w:val="0"/>
        <w:spacing w:before="0" w:after="240"/>
        <w:jc w:val="both"/>
        <w:rPr>
          <w:rFonts w:ascii="Times New Roman" w:hAnsi="Times New Roman"/>
          <w:sz w:val="20"/>
        </w:rPr>
      </w:pPr>
      <w:r>
        <w:rPr>
          <w:rFonts w:ascii="Times New Roman" w:hAnsi="Times New Roman"/>
          <w:color w:val="000000"/>
          <w:sz w:val="24"/>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hAnsi="Times New Roman"/>
          <w:b/>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shall mean any day on which the Exchange and commercial banks in the City of New York are open for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An electronic communication (“</w:t>
      </w:r>
      <w:r>
        <w:rPr>
          <w:rFonts w:ascii="Times New Roman" w:hAnsi="Times New Roman"/>
          <w:b/>
          <w:color w:val="000000"/>
          <w:sz w:val="24"/>
          <w:u w:val="single"/>
        </w:rPr>
        <w:t>Electronic Notice</w:t>
      </w:r>
      <w:r>
        <w:rPr>
          <w:rFonts w:ascii="Times New Roman" w:hAnsi="Times New Roman"/>
          <w:color w:val="000000"/>
          <w:sz w:val="20"/>
        </w:rPr>
        <w:t>”</w:t>
      </w:r>
      <w:r>
        <w:rPr>
          <w:rFonts w:ascii="Times New Roman" w:hAnsi="Times New Roman"/>
          <w:color w:val="000000"/>
          <w:sz w:val="24"/>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hAnsi="Times New Roman"/>
          <w:b/>
          <w:color w:val="000000"/>
          <w:sz w:val="24"/>
          <w:u w:val="single"/>
        </w:rPr>
        <w:t>Nonelectronic Notic</w:t>
      </w:r>
      <w:r>
        <w:rPr>
          <w:rFonts w:ascii="Times New Roman" w:hAnsi="Times New Roman"/>
          <w:b/>
          <w:color w:val="000000"/>
          <w:sz w:val="24"/>
        </w:rPr>
        <w:t>e</w:t>
      </w:r>
      <w:r>
        <w:rPr>
          <w:rFonts w:ascii="Times New Roman" w:hAnsi="Times New Roman"/>
          <w:color w:val="000000"/>
          <w:sz w:val="20"/>
        </w:rPr>
        <w:t>”</w:t>
      </w:r>
      <w:r>
        <w:rPr>
          <w:rFonts w:ascii="Times New Roman" w:hAnsi="Times New Roman"/>
          <w:color w:val="000000"/>
          <w:sz w:val="24"/>
        </w:rPr>
        <w:t>) which shall be sent to the requesting party within ten (10) days of receipt of the written request for Nonelectronic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xml:space="preserve">. This Agreement shall inure to the benefit of and be binding upon the Company and the Agents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Company nor an Agent may assign its rights or obligations under this Agreement without the prior written consent of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an Agent may assign its rights and obligations hereunder to an affiliate thereof without obtaining the Company’s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Adjustments for Stock Splits</w:t>
      </w:r>
      <w:r>
        <w:rPr>
          <w:rFonts w:ascii="Times New Roman" w:hAnsi="Times New Roman"/>
          <w:color w:val="000000"/>
          <w:sz w:val="24"/>
        </w:rPr>
        <w:t>. The parties acknowledge and agree that all share-related numbers contained in this Agreement shall be adjusted to take into account any share consolidation, stock split, stock dividend, corporate re-domiciliation or similar event effected with respect to the Placement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Entire Agreement; Amendment; Severability; Waiver</w:t>
      </w:r>
      <w:r>
        <w:rPr>
          <w:rFonts w:ascii="Times New Roman" w:hAnsi="Times New Roman"/>
          <w:color w:val="000000"/>
          <w:sz w:val="24"/>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b/>
          <w:color w:val="000000"/>
          <w:sz w:val="24"/>
          <w:u w:val="single"/>
        </w:rPr>
        <w:t>GOVERNING LAW AND TIME; WAIVER OF JURY TRIAL</w:t>
      </w:r>
      <w:r>
        <w:rPr>
          <w:rFonts w:ascii="Times New Roman" w:hAnsi="Times New Roman"/>
          <w:b/>
          <w:color w:val="000000"/>
          <w:sz w:val="24"/>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b/>
          <w:color w:val="000000"/>
          <w:sz w:val="24"/>
          <w:u w:val="single"/>
        </w:rPr>
        <w:t>CONSENT TO JURISDICTION</w:t>
      </w:r>
      <w:r>
        <w:rPr>
          <w:rFonts w:ascii="Times New Roman" w:hAnsi="Times New Roman"/>
          <w:b/>
          <w:color w:val="000000"/>
          <w:sz w:val="24"/>
        </w:rPr>
        <w:t xml:space="preserve">.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r>
        <w:rPr>
          <w:color w:val="00000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Permitted Free Writing Prospectuses</w:t>
      </w:r>
      <w:r>
        <w:rPr>
          <w:rFonts w:ascii="Times New Roman" w:hAnsi="Times New Roman"/>
          <w:color w:val="000000"/>
          <w:sz w:val="24"/>
        </w:rPr>
        <w:t xml:space="preserve">. The Company represents, warrants and agrees that, unless it obtains the prior written consent of the Agents (which consent shall not be unreasonably withheld or delayed), and the Agents represent, warrant and agree that, unless they obtain the prior written consent of the Company, they have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hAnsi="Times New Roman"/>
          <w:color w:val="000000"/>
          <w:sz w:val="24"/>
          <w:u w:val="single"/>
        </w:rPr>
        <w:t>Exhibit 1</w:t>
      </w:r>
      <w:r>
        <w:rPr>
          <w:color w:val="000000"/>
        </w:rPr>
        <w:t xml:space="preserve"> </w:t>
      </w:r>
      <w:r>
        <w:rPr>
          <w:rFonts w:ascii="Times New Roman" w:hAnsi="Times New Roman"/>
          <w:color w:val="000000"/>
          <w:sz w:val="24"/>
        </w:rPr>
        <w:t>hereto are Permitted Free Writing Prospectuses.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Absence of Fiduciary Relationship</w:t>
      </w:r>
      <w:r>
        <w:rPr>
          <w:rFonts w:ascii="Times New Roman" w:hAnsi="Times New Roman"/>
          <w:color w:val="000000"/>
          <w:sz w:val="24"/>
        </w:rPr>
        <w:t>. The Company acknowledges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Agents are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the Agents have advised or is advising the Company on other matters, and the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Agents have no obligation to the Company with respect to the transactions contemplated by this Agreement except the obligations expressly set forth in this Agreement;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capable of evaluating and understanding, and understands and accepts, the terms, risks and conditions of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Agents nor their affiliates have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aware that the Agents and their affiliates are engaged in a broad range of transactions which may involve interests that differ from those of the Company and the Agents and their affiliates have no obligation to disclose such interests and transactions to the Company by virtue of any fiduciary, advisory or agency relationship or otherwise;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waives, to the fullest extent permitted by law, any claims it may have against the Agents or their affiliates for breach of fiduciary duty or alleged breach of fiduciary duty in connection with the sale of Placement Shares under this Agreement and agrees that the Agents and their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As used in this Agreement, the following terms have the respective meanings set forth below:</w:t>
      </w:r>
    </w:p>
    <w:p>
      <w:pPr>
        <w:pStyle w:val="TextBody"/>
        <w:bidi w:val="0"/>
        <w:spacing w:before="0" w:after="240"/>
        <w:jc w:val="both"/>
        <w:rPr/>
      </w:pPr>
      <w:r>
        <w:rPr>
          <w:color w:val="000000"/>
        </w:rPr>
        <w:t>“</w:t>
      </w:r>
      <w:r>
        <w:rPr>
          <w:rFonts w:ascii="Times New Roman" w:hAnsi="Times New Roman"/>
          <w:b/>
          <w:color w:val="000000"/>
          <w:sz w:val="24"/>
          <w:u w:val="single"/>
        </w:rPr>
        <w:t>Applicable Time</w:t>
      </w:r>
      <w:r>
        <w:rPr>
          <w:rFonts w:ascii="Times New Roman" w:hAnsi="Times New Roman"/>
          <w:color w:val="000000"/>
          <w:sz w:val="20"/>
        </w:rPr>
        <w:t xml:space="preserve">” </w:t>
      </w:r>
      <w:r>
        <w:rPr>
          <w:rFonts w:ascii="Times New Roman" w:hAnsi="Times New Roman"/>
          <w:color w:val="000000"/>
          <w:sz w:val="24"/>
        </w:rPr>
        <w:t>means (i) each Representation Date, (ii) the time of each sale of any Placement Shares pursuant to this Agreement and (iii) each Settlement Date.</w:t>
      </w:r>
    </w:p>
    <w:p>
      <w:pPr>
        <w:pStyle w:val="TextBody"/>
        <w:bidi w:val="0"/>
        <w:spacing w:before="0" w:after="240"/>
        <w:jc w:val="both"/>
        <w:rPr/>
      </w:pPr>
      <w:r>
        <w:rPr>
          <w:color w:val="000000"/>
        </w:rPr>
        <w:t>“</w:t>
      </w:r>
      <w:r>
        <w:rPr>
          <w:rFonts w:ascii="Times New Roman" w:hAnsi="Times New Roman"/>
          <w:b/>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spacing w:before="0" w:after="240"/>
        <w:jc w:val="both"/>
        <w:rPr/>
      </w:pPr>
      <w:r>
        <w:rPr>
          <w:color w:val="000000"/>
        </w:rPr>
        <w:t>“</w:t>
      </w:r>
      <w:r>
        <w:rPr>
          <w:rFonts w:ascii="Times New Roman" w:hAnsi="Times New Roman"/>
          <w:b/>
          <w:color w:val="000000"/>
          <w:sz w:val="24"/>
          <w:u w:val="single"/>
        </w:rPr>
        <w:t>Issuer Free Writing Prospectus</w:t>
      </w:r>
      <w:r>
        <w:rPr>
          <w:rFonts w:ascii="Times New Roman" w:hAnsi="Times New Roman"/>
          <w:color w:val="000000"/>
          <w:sz w:val="20"/>
        </w:rPr>
        <w:t xml:space="preserve">” </w:t>
      </w:r>
      <w:r>
        <w:rPr>
          <w:rFonts w:ascii="Times New Roman" w:hAnsi="Times New Roman"/>
          <w:color w:val="000000"/>
          <w:sz w:val="24"/>
        </w:rPr>
        <w:t>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color w:val="000000"/>
          <w:sz w:val="24"/>
          <w:u w:val="single"/>
        </w:rPr>
        <w:t>Rule 164</w:t>
      </w:r>
      <w:r>
        <w:rPr>
          <w:rFonts w:ascii="Times New Roman" w:hAnsi="Times New Roman"/>
          <w:color w:val="000000"/>
          <w:sz w:val="24"/>
        </w:rPr>
        <w:t>,” “</w:t>
      </w:r>
      <w:r>
        <w:rPr>
          <w:rFonts w:ascii="Times New Roman" w:hAnsi="Times New Roman"/>
          <w:b/>
          <w:color w:val="000000"/>
          <w:sz w:val="24"/>
          <w:u w:val="single"/>
        </w:rPr>
        <w:t>Rule 172</w:t>
      </w:r>
      <w:r>
        <w:rPr>
          <w:rFonts w:ascii="Times New Roman" w:hAnsi="Times New Roman"/>
          <w:color w:val="000000"/>
          <w:sz w:val="24"/>
        </w:rPr>
        <w:t>,” “</w:t>
      </w:r>
      <w:r>
        <w:rPr>
          <w:rFonts w:ascii="Times New Roman" w:hAnsi="Times New Roman"/>
          <w:b/>
          <w:color w:val="000000"/>
          <w:sz w:val="24"/>
          <w:u w:val="single"/>
        </w:rPr>
        <w:t>Rule 405</w:t>
      </w:r>
      <w:r>
        <w:rPr>
          <w:rFonts w:ascii="Times New Roman" w:hAnsi="Times New Roman"/>
          <w:color w:val="000000"/>
          <w:sz w:val="24"/>
        </w:rPr>
        <w:t>,” “</w:t>
      </w:r>
      <w:r>
        <w:rPr>
          <w:rFonts w:ascii="Times New Roman" w:hAnsi="Times New Roman"/>
          <w:b/>
          <w:color w:val="000000"/>
          <w:sz w:val="24"/>
          <w:u w:val="single"/>
        </w:rPr>
        <w:t>Rule 415</w:t>
      </w:r>
      <w:r>
        <w:rPr>
          <w:rFonts w:ascii="Times New Roman" w:hAnsi="Times New Roman"/>
          <w:color w:val="000000"/>
          <w:sz w:val="24"/>
        </w:rPr>
        <w:t>,” “</w:t>
      </w:r>
      <w:r>
        <w:rPr>
          <w:rFonts w:ascii="Times New Roman" w:hAnsi="Times New Roman"/>
          <w:b/>
          <w:color w:val="000000"/>
          <w:sz w:val="24"/>
          <w:u w:val="single"/>
        </w:rPr>
        <w:t>Rule 424</w:t>
      </w:r>
      <w:r>
        <w:rPr>
          <w:rFonts w:ascii="Times New Roman" w:hAnsi="Times New Roman"/>
          <w:color w:val="000000"/>
          <w:sz w:val="24"/>
        </w:rPr>
        <w:t>,” “</w:t>
      </w:r>
      <w:r>
        <w:rPr>
          <w:rFonts w:ascii="Times New Roman" w:hAnsi="Times New Roman"/>
          <w:b/>
          <w:color w:val="000000"/>
          <w:sz w:val="24"/>
          <w:u w:val="single"/>
        </w:rPr>
        <w:t>Rule 424(b)</w:t>
      </w:r>
      <w:r>
        <w:rPr>
          <w:rFonts w:ascii="Times New Roman" w:hAnsi="Times New Roman"/>
          <w:color w:val="000000"/>
          <w:sz w:val="24"/>
        </w:rPr>
        <w:t>,” “</w:t>
      </w:r>
      <w:r>
        <w:rPr>
          <w:rFonts w:ascii="Times New Roman" w:hAnsi="Times New Roman"/>
          <w:b/>
          <w:color w:val="000000"/>
          <w:sz w:val="24"/>
          <w:u w:val="single"/>
        </w:rPr>
        <w:t>Rule 430B</w:t>
      </w:r>
      <w:r>
        <w:rPr>
          <w:rFonts w:ascii="Times New Roman" w:hAnsi="Times New Roman"/>
          <w:color w:val="000000"/>
          <w:sz w:val="24"/>
        </w:rPr>
        <w:t>,” and “</w:t>
      </w:r>
      <w:r>
        <w:rPr>
          <w:rFonts w:ascii="Times New Roman" w:hAnsi="Times New Roman"/>
          <w:b/>
          <w:color w:val="000000"/>
          <w:sz w:val="24"/>
          <w:u w:val="single"/>
        </w:rPr>
        <w:t>Rule 433</w:t>
      </w:r>
      <w:r>
        <w:rPr>
          <w:rFonts w:ascii="Times New Roman" w:hAnsi="Times New Roman"/>
          <w:color w:val="000000"/>
          <w:sz w:val="20"/>
        </w:rPr>
        <w:t xml:space="preserve">” </w:t>
      </w:r>
      <w:r>
        <w:rPr>
          <w:rFonts w:ascii="Times New Roman" w:hAnsi="Times New Roman"/>
          <w:color w:val="000000"/>
          <w:sz w:val="24"/>
        </w:rPr>
        <w:t>refer to such rules under the Securities Act.</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color w:val="000000"/>
          <w:sz w:val="24"/>
          <w:u w:val="single"/>
        </w:rPr>
        <w:t>Recognition of the U.S. Special Resolution Regimes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any Agent is a Covered Entity and becomes subject to a proceeding under a U.S. Special Resolution Regime, the transfer from any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any Agent is a Covered Entity and such Agent or a BHC Act Affiliate of any Agent becomes subject to a proceeding under a U.S. Special Resolution Regime, Default Rights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rPr>
        <w:t>For purposes of this Section 24; (a) “</w:t>
      </w:r>
      <w:r>
        <w:rPr>
          <w:rFonts w:ascii="Times New Roman" w:hAnsi="Times New Roman"/>
          <w:b/>
          <w:color w:val="000000"/>
          <w:sz w:val="24"/>
          <w:u w:val="single"/>
        </w:rPr>
        <w:t>BHC Act Affiliate</w:t>
      </w:r>
      <w:r>
        <w:rPr>
          <w:color w:val="000000"/>
        </w:rPr>
        <w:t xml:space="preserve">” </w:t>
      </w:r>
      <w:r>
        <w:rPr>
          <w:rFonts w:ascii="Times New Roman" w:hAnsi="Times New Roman"/>
          <w:color w:val="000000"/>
          <w:sz w:val="24"/>
        </w:rPr>
        <w:t>has the meaning assigned to the term “affiliate” in, and shall be interpreted in accordance with, 12 U.S.C. § 1841(k), (b) “</w:t>
      </w:r>
      <w:r>
        <w:rPr>
          <w:rFonts w:ascii="Times New Roman" w:hAnsi="Times New Roman"/>
          <w:b/>
          <w:color w:val="000000"/>
          <w:sz w:val="24"/>
          <w:u w:val="single"/>
        </w:rPr>
        <w:t>Covered Entity</w:t>
      </w:r>
      <w:r>
        <w:rPr>
          <w:color w:val="000000"/>
        </w:rPr>
        <w:t xml:space="preserve">” </w:t>
      </w:r>
      <w:r>
        <w:rPr>
          <w:rFonts w:ascii="Times New Roman" w:hAnsi="Times New Roman"/>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color w:val="000000"/>
          <w:sz w:val="24"/>
          <w:u w:val="single"/>
        </w:rPr>
        <w:t>Default Right</w:t>
      </w:r>
      <w:r>
        <w:rPr>
          <w:color w:val="000000"/>
        </w:rPr>
        <w:t xml:space="preserve">” </w:t>
      </w:r>
      <w:r>
        <w:rPr>
          <w:rFonts w:ascii="Times New Roman" w:hAnsi="Times New Roman"/>
          <w:color w:val="000000"/>
          <w:sz w:val="24"/>
        </w:rPr>
        <w:t>has the meaning assigned to that term in, and shall be interpreted in accordance with, 12 C.F.R. §§ 252.81, 47.2 or 382.1, as applicable, and (d) “</w:t>
      </w:r>
      <w:r>
        <w:rPr>
          <w:rFonts w:ascii="Times New Roman" w:hAnsi="Times New Roman"/>
          <w:b/>
          <w:color w:val="000000"/>
          <w:sz w:val="24"/>
          <w:u w:val="single"/>
        </w:rPr>
        <w:t>U.S. Special Resolution Regime</w:t>
      </w:r>
      <w:r>
        <w:rPr>
          <w:color w:val="000000"/>
        </w:rPr>
        <w:t xml:space="preserve">” </w:t>
      </w:r>
      <w:r>
        <w:rPr>
          <w:rFonts w:ascii="Times New Roman" w:hAnsi="Times New Roman"/>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b/>
          <w:i/>
          <w:color w:val="000000"/>
          <w:sz w:val="24"/>
        </w:rPr>
        <w:t>Remainder of the page intentionally left blank; 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foregoing correctly sets forth the understanding among the Company and the Agents, please so indicate in the space provided below for that purpose, whereupon this letter shall constitute a binding agreement between the Company and the Agents.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Very truly yours,</w:t>
      </w:r>
    </w:p>
    <w:tbl>
      <w:tblPr>
        <w:tblW w:w="3362" w:type="dxa"/>
        <w:jc w:val="left"/>
        <w:tblInd w:w="0" w:type="dxa"/>
        <w:tblLayout w:type="fixed"/>
        <w:tblCellMar>
          <w:top w:w="28" w:type="dxa"/>
          <w:left w:w="28" w:type="dxa"/>
          <w:bottom w:w="28" w:type="dxa"/>
          <w:right w:w="28" w:type="dxa"/>
        </w:tblCellMar>
      </w:tblPr>
      <w:tblGrid>
        <w:gridCol w:w="466"/>
        <w:gridCol w:w="2896"/>
      </w:tblGrid>
      <w:tr>
        <w:trPr/>
        <w:tc>
          <w:tcPr>
            <w:tcW w:w="46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36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TEMPUS AI, INC.</w:t>
            </w:r>
          </w:p>
          <w:p>
            <w:pPr>
              <w:pStyle w:val="TableContents"/>
              <w:bidi w:val="0"/>
              <w:jc w:val="both"/>
              <w:rPr/>
            </w:pPr>
            <w:r>
              <w:rPr/>
              <w:t> </w:t>
            </w:r>
          </w:p>
          <w:p>
            <w:pPr>
              <w:pStyle w:val="TableContents"/>
              <w:bidi w:val="0"/>
              <w:spacing w:before="0" w:after="283"/>
              <w:jc w:val="both"/>
              <w:rPr/>
            </w:pPr>
            <w:r>
              <w:rPr/>
              <w:t> </w:t>
            </w:r>
          </w:p>
        </w:tc>
      </w:tr>
      <w:tr>
        <w:trPr/>
        <w:tc>
          <w:tcPr>
            <w:tcW w:w="336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James Rogers</w:t>
            </w:r>
          </w:p>
        </w:tc>
      </w:tr>
      <w:tr>
        <w:trPr/>
        <w:tc>
          <w:tcPr>
            <w:tcW w:w="466" w:type="dxa"/>
            <w:tcBorders/>
            <w:tcMar>
              <w:top w:w="0" w:type="dxa"/>
              <w:left w:w="0" w:type="dxa"/>
              <w:bottom w:w="0" w:type="dxa"/>
              <w:right w:w="0" w:type="dxa"/>
            </w:tcMar>
            <w:vAlign w:val="center"/>
          </w:tcPr>
          <w:p>
            <w:pPr>
              <w:pStyle w:val="TableContents"/>
              <w:bidi w:val="0"/>
              <w:spacing w:before="0" w:after="283"/>
              <w:jc w:val="both"/>
              <w:rPr/>
            </w:pPr>
            <w:r>
              <w:rPr/>
              <w:t> </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James Rogers</w:t>
            </w:r>
          </w:p>
        </w:tc>
      </w:tr>
      <w:tr>
        <w:trPr/>
        <w:tc>
          <w:tcPr>
            <w:tcW w:w="466" w:type="dxa"/>
            <w:tcBorders/>
            <w:tcMar>
              <w:top w:w="0" w:type="dxa"/>
              <w:left w:w="0" w:type="dxa"/>
              <w:bottom w:w="0" w:type="dxa"/>
              <w:right w:w="0" w:type="dxa"/>
            </w:tcMar>
            <w:vAlign w:val="center"/>
          </w:tcPr>
          <w:p>
            <w:pPr>
              <w:pStyle w:val="TableContents"/>
              <w:bidi w:val="0"/>
              <w:spacing w:before="0" w:after="283"/>
              <w:jc w:val="both"/>
              <w:rPr/>
            </w:pPr>
            <w:r>
              <w:rPr/>
              <w:t> </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Chief Financial Officer</w:t>
            </w:r>
          </w:p>
        </w:tc>
      </w:tr>
    </w:tbl>
    <w:p>
      <w:pPr>
        <w:pStyle w:val="TextBody"/>
        <w:bidi w:val="0"/>
        <w:spacing w:before="0" w:after="24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ACCEPTED as of the date first-above written:</w:t>
      </w:r>
    </w:p>
    <w:tbl>
      <w:tblPr>
        <w:tblW w:w="3735" w:type="dxa"/>
        <w:jc w:val="left"/>
        <w:tblInd w:w="0" w:type="dxa"/>
        <w:tblLayout w:type="fixed"/>
        <w:tblCellMar>
          <w:top w:w="28" w:type="dxa"/>
          <w:left w:w="28" w:type="dxa"/>
          <w:bottom w:w="28" w:type="dxa"/>
          <w:right w:w="28" w:type="dxa"/>
        </w:tblCellMar>
      </w:tblPr>
      <w:tblGrid>
        <w:gridCol w:w="520"/>
        <w:gridCol w:w="3215"/>
      </w:tblGrid>
      <w:tr>
        <w:trPr/>
        <w:tc>
          <w:tcPr>
            <w:tcW w:w="52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3735"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 xml:space="preserve">MORGAN STANLEY &amp; CO. LLC </w:t>
            </w:r>
          </w:p>
          <w:p>
            <w:pPr>
              <w:pStyle w:val="TableContents"/>
              <w:bidi w:val="0"/>
              <w:jc w:val="both"/>
              <w:rPr/>
            </w:pPr>
            <w:r>
              <w:rPr/>
              <w:t> </w:t>
            </w:r>
          </w:p>
          <w:p>
            <w:pPr>
              <w:pStyle w:val="TableContents"/>
              <w:bidi w:val="0"/>
              <w:spacing w:before="0" w:after="283"/>
              <w:jc w:val="both"/>
              <w:rPr/>
            </w:pPr>
            <w:r>
              <w:rPr/>
              <w:t> </w:t>
            </w:r>
          </w:p>
        </w:tc>
      </w:tr>
      <w:tr>
        <w:trPr/>
        <w:tc>
          <w:tcPr>
            <w:tcW w:w="373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3215"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Eduardo I. Herdan</w:t>
            </w:r>
          </w:p>
        </w:tc>
      </w:tr>
      <w:tr>
        <w:trPr/>
        <w:tc>
          <w:tcPr>
            <w:tcW w:w="520" w:type="dxa"/>
            <w:tcBorders/>
            <w:tcMar>
              <w:top w:w="0" w:type="dxa"/>
              <w:left w:w="0" w:type="dxa"/>
              <w:bottom w:w="0" w:type="dxa"/>
              <w:right w:w="0" w:type="dxa"/>
            </w:tcMar>
            <w:vAlign w:val="center"/>
          </w:tcPr>
          <w:p>
            <w:pPr>
              <w:pStyle w:val="TableContents"/>
              <w:bidi w:val="0"/>
              <w:spacing w:before="0" w:after="283"/>
              <w:jc w:val="both"/>
              <w:rPr/>
            </w:pPr>
            <w:r>
              <w:rPr/>
              <w:t> </w:t>
            </w:r>
          </w:p>
        </w:tc>
        <w:tc>
          <w:tcPr>
            <w:tcW w:w="32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/s/ Eduardo I. Herdan</w:t>
            </w:r>
          </w:p>
        </w:tc>
      </w:tr>
      <w:tr>
        <w:trPr/>
        <w:tc>
          <w:tcPr>
            <w:tcW w:w="520" w:type="dxa"/>
            <w:tcBorders/>
            <w:tcMar>
              <w:top w:w="0" w:type="dxa"/>
              <w:left w:w="0" w:type="dxa"/>
              <w:bottom w:w="0" w:type="dxa"/>
              <w:right w:w="0" w:type="dxa"/>
            </w:tcMar>
            <w:vAlign w:val="center"/>
          </w:tcPr>
          <w:p>
            <w:pPr>
              <w:pStyle w:val="TableContents"/>
              <w:bidi w:val="0"/>
              <w:spacing w:before="0" w:after="283"/>
              <w:jc w:val="both"/>
              <w:rPr/>
            </w:pPr>
            <w:r>
              <w:rPr/>
              <w:t> </w:t>
            </w:r>
          </w:p>
        </w:tc>
        <w:tc>
          <w:tcPr>
            <w:tcW w:w="32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Executive Director</w:t>
            </w:r>
          </w:p>
        </w:tc>
      </w:tr>
    </w:tbl>
    <w:p>
      <w:pPr>
        <w:pStyle w:val="TextBody"/>
        <w:bidi w:val="0"/>
        <w:spacing w:before="0" w:after="240"/>
        <w:jc w:val="both"/>
        <w:rPr/>
      </w:pPr>
      <w:r>
        <w:rPr/>
        <w:t> </w:t>
      </w:r>
    </w:p>
    <w:tbl>
      <w:tblPr>
        <w:tblW w:w="3465" w:type="dxa"/>
        <w:jc w:val="left"/>
        <w:tblInd w:w="0" w:type="dxa"/>
        <w:tblLayout w:type="fixed"/>
        <w:tblCellMar>
          <w:top w:w="28" w:type="dxa"/>
          <w:left w:w="28" w:type="dxa"/>
          <w:bottom w:w="28" w:type="dxa"/>
          <w:right w:w="28" w:type="dxa"/>
        </w:tblCellMar>
      </w:tblPr>
      <w:tblGrid>
        <w:gridCol w:w="543"/>
        <w:gridCol w:w="2922"/>
      </w:tblGrid>
      <w:tr>
        <w:trPr/>
        <w:tc>
          <w:tcPr>
            <w:tcW w:w="543"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r>
      <w:tr>
        <w:trPr/>
        <w:tc>
          <w:tcPr>
            <w:tcW w:w="3465"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CANTOR FITZGERALD &amp; CO.</w:t>
            </w:r>
          </w:p>
          <w:p>
            <w:pPr>
              <w:pStyle w:val="TableContents"/>
              <w:bidi w:val="0"/>
              <w:jc w:val="both"/>
              <w:rPr/>
            </w:pPr>
            <w:r>
              <w:rPr/>
              <w:t> </w:t>
            </w:r>
          </w:p>
          <w:p>
            <w:pPr>
              <w:pStyle w:val="TableContents"/>
              <w:bidi w:val="0"/>
              <w:spacing w:before="0" w:after="283"/>
              <w:jc w:val="both"/>
              <w:rPr/>
            </w:pPr>
            <w:r>
              <w:rPr/>
              <w:t> </w:t>
            </w:r>
          </w:p>
        </w:tc>
      </w:tr>
      <w:tr>
        <w:trPr/>
        <w:tc>
          <w:tcPr>
            <w:tcW w:w="346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922"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Sameer Vasudev</w:t>
            </w:r>
          </w:p>
        </w:tc>
      </w:tr>
      <w:tr>
        <w:trPr/>
        <w:tc>
          <w:tcPr>
            <w:tcW w:w="543" w:type="dxa"/>
            <w:tcBorders/>
            <w:tcMar>
              <w:top w:w="0" w:type="dxa"/>
              <w:left w:w="0" w:type="dxa"/>
              <w:bottom w:w="0" w:type="dxa"/>
              <w:right w:w="0" w:type="dxa"/>
            </w:tcMar>
            <w:vAlign w:val="center"/>
          </w:tcPr>
          <w:p>
            <w:pPr>
              <w:pStyle w:val="TableContents"/>
              <w:bidi w:val="0"/>
              <w:spacing w:before="0" w:after="283"/>
              <w:jc w:val="both"/>
              <w:rPr/>
            </w:pPr>
            <w:r>
              <w:rPr/>
              <w:t> </w:t>
            </w:r>
          </w:p>
        </w:tc>
        <w:tc>
          <w:tcPr>
            <w:tcW w:w="29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Sameer Vasudev</w:t>
            </w:r>
          </w:p>
        </w:tc>
      </w:tr>
      <w:tr>
        <w:trPr/>
        <w:tc>
          <w:tcPr>
            <w:tcW w:w="543" w:type="dxa"/>
            <w:tcBorders/>
            <w:tcMar>
              <w:top w:w="0" w:type="dxa"/>
              <w:left w:w="0" w:type="dxa"/>
              <w:bottom w:w="0" w:type="dxa"/>
              <w:right w:w="0" w:type="dxa"/>
            </w:tcMar>
            <w:vAlign w:val="center"/>
          </w:tcPr>
          <w:p>
            <w:pPr>
              <w:pStyle w:val="TableContents"/>
              <w:bidi w:val="0"/>
              <w:spacing w:before="0" w:after="283"/>
              <w:jc w:val="both"/>
              <w:rPr/>
            </w:pPr>
            <w:r>
              <w:rPr/>
              <w:t> </w:t>
            </w:r>
          </w:p>
        </w:tc>
        <w:tc>
          <w:tcPr>
            <w:tcW w:w="29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Managing Director</w:t>
            </w:r>
          </w:p>
        </w:tc>
      </w:tr>
    </w:tbl>
    <w:p>
      <w:pPr>
        <w:pStyle w:val="TextBody"/>
        <w:bidi w:val="0"/>
        <w:spacing w:before="0" w:after="240"/>
        <w:jc w:val="both"/>
        <w:rPr/>
      </w:pPr>
      <w:r>
        <w:rPr/>
        <w:t> </w:t>
      </w:r>
    </w:p>
    <w:tbl>
      <w:tblPr>
        <w:tblW w:w="3165" w:type="dxa"/>
        <w:jc w:val="left"/>
        <w:tblInd w:w="0" w:type="dxa"/>
        <w:tblLayout w:type="fixed"/>
        <w:tblCellMar>
          <w:top w:w="28" w:type="dxa"/>
          <w:left w:w="28" w:type="dxa"/>
          <w:bottom w:w="28" w:type="dxa"/>
          <w:right w:w="28" w:type="dxa"/>
        </w:tblCellMar>
      </w:tblPr>
      <w:tblGrid>
        <w:gridCol w:w="496"/>
        <w:gridCol w:w="2669"/>
      </w:tblGrid>
      <w:tr>
        <w:trPr/>
        <w:tc>
          <w:tcPr>
            <w:tcW w:w="496"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r>
      <w:tr>
        <w:trPr/>
        <w:tc>
          <w:tcPr>
            <w:tcW w:w="3165"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TD SECURITIES (USA) LLC</w:t>
            </w:r>
          </w:p>
          <w:p>
            <w:pPr>
              <w:pStyle w:val="TableContents"/>
              <w:bidi w:val="0"/>
              <w:jc w:val="both"/>
              <w:rPr/>
            </w:pPr>
            <w:r>
              <w:rPr/>
              <w:t> </w:t>
            </w:r>
          </w:p>
          <w:p>
            <w:pPr>
              <w:pStyle w:val="TableContents"/>
              <w:bidi w:val="0"/>
              <w:spacing w:before="0" w:after="283"/>
              <w:jc w:val="both"/>
              <w:rPr/>
            </w:pPr>
            <w:r>
              <w:rPr/>
              <w:t> </w:t>
            </w:r>
          </w:p>
        </w:tc>
      </w:tr>
      <w:tr>
        <w:trPr/>
        <w:tc>
          <w:tcPr>
            <w:tcW w:w="316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669"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Michael Murphy</w:t>
            </w:r>
          </w:p>
        </w:tc>
      </w:tr>
      <w:tr>
        <w:trPr/>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26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Michael Murphy</w:t>
            </w:r>
          </w:p>
        </w:tc>
      </w:tr>
      <w:tr>
        <w:trPr/>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26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Managing Director</w:t>
            </w:r>
          </w:p>
        </w:tc>
      </w:tr>
    </w:tbl>
    <w:p>
      <w:pPr>
        <w:pStyle w:val="TextBody"/>
        <w:bidi w:val="0"/>
        <w:spacing w:before="0" w:after="240"/>
        <w:jc w:val="both"/>
        <w:rPr/>
      </w:pPr>
      <w:r>
        <w:rPr/>
        <w:t> </w:t>
      </w:r>
    </w:p>
    <w:tbl>
      <w:tblPr>
        <w:tblW w:w="3030" w:type="dxa"/>
        <w:jc w:val="left"/>
        <w:tblInd w:w="0" w:type="dxa"/>
        <w:tblLayout w:type="fixed"/>
        <w:tblCellMar>
          <w:top w:w="28" w:type="dxa"/>
          <w:left w:w="28" w:type="dxa"/>
          <w:bottom w:w="28" w:type="dxa"/>
          <w:right w:w="28" w:type="dxa"/>
        </w:tblCellMar>
      </w:tblPr>
      <w:tblGrid>
        <w:gridCol w:w="511"/>
        <w:gridCol w:w="2519"/>
      </w:tblGrid>
      <w:tr>
        <w:trPr/>
        <w:tc>
          <w:tcPr>
            <w:tcW w:w="51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3030"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ALLEN &amp; COMPANY LLC</w:t>
            </w:r>
          </w:p>
          <w:p>
            <w:pPr>
              <w:pStyle w:val="TableContents"/>
              <w:bidi w:val="0"/>
              <w:jc w:val="both"/>
              <w:rPr/>
            </w:pPr>
            <w:r>
              <w:rPr/>
              <w:t> </w:t>
            </w:r>
          </w:p>
          <w:p>
            <w:pPr>
              <w:pStyle w:val="TableContents"/>
              <w:bidi w:val="0"/>
              <w:spacing w:before="0" w:after="283"/>
              <w:jc w:val="both"/>
              <w:rPr/>
            </w:pPr>
            <w:r>
              <w:rPr/>
              <w:t> </w:t>
            </w:r>
          </w:p>
        </w:tc>
      </w:tr>
      <w:tr>
        <w:trPr/>
        <w:tc>
          <w:tcPr>
            <w:tcW w:w="303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519"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Peter DiIorio</w:t>
            </w:r>
          </w:p>
        </w:tc>
      </w:tr>
      <w:tr>
        <w:trPr/>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251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Peter DiIorio</w:t>
            </w:r>
          </w:p>
        </w:tc>
      </w:tr>
      <w:tr>
        <w:trPr/>
        <w:tc>
          <w:tcPr>
            <w:tcW w:w="511" w:type="dxa"/>
            <w:tcBorders/>
            <w:tcMar>
              <w:top w:w="0" w:type="dxa"/>
              <w:left w:w="0" w:type="dxa"/>
              <w:bottom w:w="0" w:type="dxa"/>
              <w:right w:w="0" w:type="dxa"/>
            </w:tcMar>
            <w:vAlign w:val="center"/>
          </w:tcPr>
          <w:p>
            <w:pPr>
              <w:pStyle w:val="TableContents"/>
              <w:bidi w:val="0"/>
              <w:spacing w:before="0" w:after="283"/>
              <w:jc w:val="both"/>
              <w:rPr/>
            </w:pPr>
            <w:r>
              <w:rPr/>
              <w:t> </w:t>
            </w:r>
          </w:p>
        </w:tc>
        <w:tc>
          <w:tcPr>
            <w:tcW w:w="251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General Counsel</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1</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Placement Notice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From: Tempus AI, Inc.</w:t>
      </w:r>
    </w:p>
    <w:p>
      <w:pPr>
        <w:pStyle w:val="TextBody"/>
        <w:bidi w:val="0"/>
        <w:spacing w:before="0" w:after="240"/>
        <w:jc w:val="left"/>
        <w:rPr>
          <w:rFonts w:ascii="Times New Roman" w:hAnsi="Times New Roman"/>
          <w:color w:val="000000"/>
          <w:sz w:val="24"/>
        </w:rPr>
      </w:pPr>
      <w:bookmarkStart w:id="35" w:name="seltemp"/>
      <w:bookmarkEnd w:id="35"/>
      <w:r>
        <w:rPr>
          <w:rFonts w:ascii="Times New Roman" w:hAnsi="Times New Roman"/>
          <w:color w:val="000000"/>
          <w:sz w:val="24"/>
        </w:rPr>
        <w:t>To: [Morgan Stanley &amp; Co. LLC] / [Cantor Fitzgerald &amp; Co.] / [TD Securities (USA) LLC] / [Allen &amp; Company LLC]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Placement Notice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[_____], 202[_]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Pursuant to the terms and subject to the conditions contained in the Controlled Equity Offering</w:t>
      </w:r>
      <w:r>
        <w:rPr>
          <w:rFonts w:ascii="Times New Roman" w:hAnsi="Times New Roman"/>
          <w:color w:val="000000"/>
          <w:sz w:val="16"/>
        </w:rPr>
        <w:t>SM</w:t>
      </w:r>
      <w:r>
        <w:rPr>
          <w:rFonts w:ascii="Times New Roman" w:hAnsi="Times New Roman"/>
          <w:color w:val="000000"/>
          <w:sz w:val="20"/>
        </w:rPr>
        <w:t xml:space="preserve"> </w:t>
      </w:r>
      <w:r>
        <w:rPr>
          <w:rFonts w:ascii="Times New Roman" w:hAnsi="Times New Roman"/>
          <w:color w:val="000000"/>
          <w:sz w:val="24"/>
        </w:rPr>
        <w:t>Sales Agreement among Tempus AI, Inc., a Nevada corporation (the “</w:t>
      </w:r>
      <w:r>
        <w:rPr>
          <w:rFonts w:ascii="Times New Roman" w:hAnsi="Times New Roman"/>
          <w:b/>
          <w:color w:val="000000"/>
          <w:sz w:val="24"/>
          <w:u w:val="single"/>
        </w:rPr>
        <w:t>Company</w:t>
      </w:r>
      <w:r>
        <w:rPr>
          <w:rFonts w:ascii="Times New Roman" w:hAnsi="Times New Roman"/>
          <w:color w:val="000000"/>
          <w:sz w:val="20"/>
        </w:rPr>
        <w:t>”</w:t>
      </w:r>
      <w:r>
        <w:rPr>
          <w:rFonts w:ascii="Times New Roman" w:hAnsi="Times New Roman"/>
          <w:color w:val="000000"/>
          <w:sz w:val="24"/>
        </w:rPr>
        <w:t>), and Morgan Stanley &amp; Co. LLC, Cantor Fitzgerald &amp; Co., TD Securities (USA) LLC and Allen &amp; Company LLC (the “</w:t>
      </w:r>
      <w:r>
        <w:rPr>
          <w:rFonts w:ascii="Times New Roman" w:hAnsi="Times New Roman"/>
          <w:b/>
          <w:color w:val="000000"/>
          <w:sz w:val="24"/>
          <w:u w:val="single"/>
        </w:rPr>
        <w:t>Agents</w:t>
      </w:r>
      <w:r>
        <w:rPr>
          <w:rFonts w:ascii="Times New Roman" w:hAnsi="Times New Roman"/>
          <w:color w:val="000000"/>
          <w:sz w:val="20"/>
        </w:rPr>
        <w:t>”</w:t>
      </w:r>
      <w:r>
        <w:rPr>
          <w:rFonts w:ascii="Times New Roman" w:hAnsi="Times New Roman"/>
          <w:color w:val="000000"/>
          <w:sz w:val="24"/>
        </w:rPr>
        <w:t>), dated August 8, 2025, the Company hereby requests that you sell up to [_______] of the Company’s common stock, par value $0.0001 per share, at a minimum market price of $[_____] per share, during the time period beginning [month, day, time] and ending [month, day, time].</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2</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Compensation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pay to the Designated Agent in cash, upon each sale by such Designated Agent of Placement Shares pursuant to this Agreement, an amount of up to 3.0% of the aggregate gross proceeds from each such sale of Placement Shares.</w:t>
      </w:r>
    </w:p>
    <w:p>
      <w:pPr>
        <w:pStyle w:val="TextBody"/>
        <w:bidi w:val="0"/>
        <w:spacing w:before="0" w:after="24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SCHEDULE 3</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Notice Parties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Permitted Free Writing Prospectus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tem-ex10_4.htm"/>
      <w:bookmarkStart w:id="37" w:name="kstemex10_4"/>
      <w:bookmarkEnd w:id="36"/>
      <w:bookmarkEnd w:id="37"/>
      <w:r>
        <w:rPr>
          <w:rFonts w:ascii="Times New Roman" w:hAnsi="Times New Roman"/>
          <w:b/>
          <w:color w:val="000000"/>
          <w:sz w:val="20"/>
        </w:rPr>
        <w:t>Exhibit 10.4</w:t>
      </w:r>
      <w:r>
        <w:br w:type="page"/>
      </w:r>
    </w:p>
    <w:p>
      <w:pPr>
        <w:pStyle w:val="TextBody"/>
        <w:bidi w:val="0"/>
        <w:spacing w:before="0" w:after="480"/>
        <w:jc w:val="center"/>
        <w:rPr>
          <w:rFonts w:ascii="Times New Roman" w:hAnsi="Times New Roman"/>
          <w:sz w:val="20"/>
        </w:rPr>
      </w:pPr>
      <w:r>
        <w:rPr>
          <w:rFonts w:ascii="Times New Roman" w:hAnsi="Times New Roman"/>
          <w:b/>
          <w:smallCaps/>
          <w:color w:val="000000"/>
          <w:sz w:val="22"/>
        </w:rPr>
        <w:t>Tempus AI, Inc.</w:t>
        <w:br/>
        <w:t>INDEMNIFICATION AGREEMENT</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w:t>
      </w:r>
      <w:r>
        <w:rPr>
          <w:rFonts w:ascii="Times New Roman" w:hAnsi="Times New Roman"/>
          <w:smallCaps/>
          <w:color w:val="000000"/>
          <w:sz w:val="20"/>
        </w:rPr>
        <w:t xml:space="preserve"> </w:t>
      </w:r>
      <w:r>
        <w:rPr>
          <w:rFonts w:ascii="Times New Roman" w:hAnsi="Times New Roman"/>
          <w:b/>
          <w:smallCaps/>
          <w:color w:val="000000"/>
          <w:sz w:val="22"/>
        </w:rPr>
        <w:t>Indemnification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dated as of _________________, 20__ and is between Tempus AI, Inc., a Nevada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______________ (“</w:t>
      </w:r>
      <w:r>
        <w:rPr>
          <w:rFonts w:ascii="Times New Roman" w:hAnsi="Times New Roman"/>
          <w:b/>
          <w:i/>
          <w:color w:val="000000"/>
          <w:sz w:val="22"/>
        </w:rPr>
        <w:t>Indemnitee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Recitals</w:t>
      </w:r>
    </w:p>
    <w:p>
      <w:pPr>
        <w:pStyle w:val="TextBody"/>
        <w:bidi w:val="0"/>
        <w:spacing w:before="0" w:after="24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0"/>
        </w:rPr>
        <w:t xml:space="preserve"> </w:t>
      </w:r>
      <w:r>
        <w:rPr>
          <w:rFonts w:ascii="Times New Roman" w:hAnsi="Times New Roman"/>
          <w:color w:val="000000"/>
          <w:sz w:val="22"/>
        </w:rPr>
        <w:t>Indemnitee’s service to the Company substantially benefits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color w:val="000000"/>
          <w:sz w:val="22"/>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C.</w:t>
      </w:r>
      <w:r>
        <w:rPr>
          <w:rFonts w:ascii="Times New Roman" w:hAnsi="Times New Roman"/>
          <w:color w:val="000000"/>
          <w:sz w:val="20"/>
        </w:rPr>
        <w:t xml:space="preserve"> </w:t>
      </w:r>
      <w:r>
        <w:rPr>
          <w:rFonts w:ascii="Times New Roman" w:hAnsi="Times New Roman"/>
          <w:color w:val="000000"/>
          <w:sz w:val="22"/>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D.</w:t>
      </w:r>
      <w:r>
        <w:rPr>
          <w:rFonts w:ascii="Times New Roman" w:hAnsi="Times New Roman"/>
          <w:color w:val="000000"/>
          <w:sz w:val="20"/>
        </w:rPr>
        <w:t xml:space="preserve"> </w:t>
      </w:r>
      <w:r>
        <w:rPr>
          <w:rFonts w:ascii="Times New Roman" w:hAnsi="Times New Roman"/>
          <w:color w:val="000000"/>
          <w:sz w:val="22"/>
        </w:rPr>
        <w:t>In order to induce Indemnitee to provide or continue to provide services to the Company, it is reasonable, prudent and necessary for the Company to contractually obligate itself to indemnify, and to advance expenses on behalf of, Indemnitee as permitted by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E.</w:t>
      </w:r>
      <w:r>
        <w:rPr>
          <w:rFonts w:ascii="Times New Roman" w:hAnsi="Times New Roman"/>
          <w:color w:val="000000"/>
          <w:sz w:val="20"/>
        </w:rPr>
        <w:t xml:space="preserve"> </w:t>
      </w:r>
      <w:r>
        <w:rPr>
          <w:rFonts w:ascii="Times New Roman" w:hAnsi="Times New Roman"/>
          <w:color w:val="000000"/>
          <w:sz w:val="22"/>
        </w:rPr>
        <w:t>This Agreement is a supplement to and in furtherance of the indemnification provided in the Company’s articles of incorporation and bylaws, and any resolutions adopted pursuant thereto, and this Agreement shall not be deemed a substitute therefor, nor shall this Agreement be deemed to limit, diminish or abrogate any rights of Indemnitee thereunder.</w:t>
      </w:r>
      <w:r>
        <w:rPr>
          <w:rFonts w:ascii="Times New Roman" w:hAnsi="Times New Roman"/>
          <w:color w:val="000000"/>
          <w:sz w:val="20"/>
        </w:rPr>
        <w:t xml:space="preserve">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Agreement</w:t>
      </w:r>
    </w:p>
    <w:p>
      <w:pPr>
        <w:pStyle w:val="TextBody"/>
        <w:bidi w:val="0"/>
        <w:spacing w:before="0" w:after="240"/>
        <w:jc w:val="both"/>
        <w:rPr>
          <w:rFonts w:ascii="Times New Roman" w:hAnsi="Times New Roman"/>
          <w:sz w:val="20"/>
        </w:rPr>
      </w:pPr>
      <w:r>
        <w:rPr>
          <w:rFonts w:ascii="Times New Roman" w:hAnsi="Times New Roman"/>
          <w:color w:val="000000"/>
          <w:sz w:val="22"/>
        </w:rPr>
        <w:t>The parties agree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Definitions</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color w:val="000000"/>
        </w:rPr>
        <w:t>“</w:t>
      </w:r>
      <w:r>
        <w:rPr>
          <w:rFonts w:ascii="Times New Roman" w:hAnsi="Times New Roman"/>
          <w:b/>
          <w:i/>
          <w:color w:val="000000"/>
          <w:sz w:val="22"/>
        </w:rPr>
        <w:t>Beneficial Owner</w:t>
      </w:r>
      <w:r>
        <w:rPr>
          <w:color w:val="000000"/>
        </w:rPr>
        <w:t xml:space="preserve">” </w:t>
      </w:r>
      <w:r>
        <w:rPr>
          <w:rFonts w:ascii="Times New Roman" w:hAnsi="Times New Roman"/>
          <w:color w:val="000000"/>
          <w:sz w:val="22"/>
        </w:rPr>
        <w:t>shall have the meaning given to such term in Rule 13d-3 under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xml:space="preserve">); provided, however, that “Beneficial Owner” shall exclude any Person otherwise becoming a Beneficial Owner solely by reason of (i) the stockholders of the Company approving a merger of the Company with another Person, or entering into tender or support agreements relating thereto, provided such merger was approved by the Company’s board of directors, or (ii) the Company’s board of directors approving a sale of securities by the Company to such Person.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color w:val="000000"/>
          <w:sz w:val="22"/>
        </w:rPr>
        <w:t>A “</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 xml:space="preserve">shall be deemed to occur upon the earliest to occur after the date of this Agreement of any of the following events: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rFonts w:ascii="Times New Roman" w:hAnsi="Times New Roman"/>
          <w:i/>
          <w:color w:val="000000"/>
          <w:sz w:val="22"/>
        </w:rPr>
        <w:t xml:space="preserve">Acquisition of Stock by Third Party. </w:t>
      </w:r>
      <w:r>
        <w:rPr>
          <w:rFonts w:ascii="Times New Roman" w:hAnsi="Times New Roman"/>
          <w:color w:val="000000"/>
          <w:sz w:val="22"/>
        </w:rPr>
        <w:t xml:space="preserve">Any Person (as defined below) becomes the Beneficial Owner, directly or indirectly, of securities of the Company representing 50% or more of the combined voting power of the Company’s then outstanding securities;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pPr>
      <w:r>
        <w:rPr>
          <w:rFonts w:ascii="Times New Roman" w:hAnsi="Times New Roman"/>
          <w:i/>
          <w:color w:val="000000"/>
          <w:sz w:val="22"/>
        </w:rPr>
        <w:t xml:space="preserve">Change in Board Composition. </w:t>
      </w:r>
      <w:r>
        <w:rPr>
          <w:rFonts w:ascii="Times New Roman" w:hAnsi="Times New Roman"/>
          <w:color w:val="000000"/>
          <w:sz w:val="22"/>
        </w:rPr>
        <w:t>During any period of two consecutive years (not including any period prior to the execution of this Agreement), individuals who at the beginning of such period constituted the Company’s board of directors and any Approved Directors cease for any reason to constitute at least a majority of the members of the Company’s board of directors. “</w:t>
      </w:r>
      <w:r>
        <w:rPr>
          <w:rFonts w:ascii="Times New Roman" w:hAnsi="Times New Roman"/>
          <w:b/>
          <w:i/>
          <w:color w:val="000000"/>
          <w:sz w:val="22"/>
        </w:rPr>
        <w:t>Approved Directors</w:t>
      </w:r>
      <w:r>
        <w:rPr>
          <w:color w:val="000000"/>
        </w:rPr>
        <w:t xml:space="preserve">” </w:t>
      </w:r>
      <w:r>
        <w:rPr>
          <w:rFonts w:ascii="Times New Roman" w:hAnsi="Times New Roman"/>
          <w:color w:val="000000"/>
          <w:sz w:val="22"/>
        </w:rPr>
        <w:t xml:space="preserve">means new directors (other than a director designated by a person who has entered into an agreement with the Company to effect a transaction described in Sections 1(b)(i), 1(b)(iii) or 1(b)(iv)) whose election or nomination by the board of directors (or, if applicable, by the Company’s stockholders) was approved by a vote of at least two-thirds of the directors then still in office who either were directors at the beginning of such two-year period or whose election or nomination for election was previously so approved;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pPr>
      <w:r>
        <w:rPr>
          <w:rFonts w:ascii="Times New Roman" w:hAnsi="Times New Roman"/>
          <w:i/>
          <w:color w:val="000000"/>
          <w:sz w:val="22"/>
        </w:rPr>
        <w:t xml:space="preserve">Corporate Transactions. </w:t>
      </w:r>
      <w:r>
        <w:rPr>
          <w:rFonts w:ascii="Times New Roman" w:hAnsi="Times New Roman"/>
          <w:color w:val="000000"/>
          <w:sz w:val="22"/>
        </w:rPr>
        <w:t>The effective date of a merger or consolidation of the Company with any other entity,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 majority of the board of directors or other governing body of such surviving entity. For purposes of this 1(b)(iii) surviving entity shall include any entity that controls, directly or indirectly, the surviving entity of such merger or consolidation;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pPr>
      <w:r>
        <w:rPr>
          <w:rFonts w:ascii="Times New Roman" w:hAnsi="Times New Roman"/>
          <w:i/>
          <w:color w:val="000000"/>
          <w:sz w:val="22"/>
        </w:rPr>
        <w:t xml:space="preserve">Liquidation. </w:t>
      </w:r>
      <w:r>
        <w:rPr>
          <w:rFonts w:ascii="Times New Roman" w:hAnsi="Times New Roman"/>
          <w:color w:val="000000"/>
          <w:sz w:val="22"/>
        </w:rPr>
        <w:t>The approval by the Company’s stockholders of a complete liquidation or the dissolution of the Company or an agreement for the sale, lease or disposition by the Company of all or substantially all of the Company’s assets;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pPr>
      <w:r>
        <w:rPr>
          <w:rFonts w:ascii="Times New Roman" w:hAnsi="Times New Roman"/>
          <w:i/>
          <w:color w:val="000000"/>
          <w:sz w:val="22"/>
        </w:rPr>
        <w:t xml:space="preserve">Other Events. </w:t>
      </w:r>
      <w:r>
        <w:rPr>
          <w:rFonts w:ascii="Times New Roman" w:hAnsi="Times New Roman"/>
          <w:color w:val="000000"/>
          <w:sz w:val="22"/>
        </w:rPr>
        <w:t xml:space="preserve">Any other event of a nature that would be required to be reported in response to Item 6(e) of Schedule 14A of Regulation 14A (or in response to any similar item on any similar schedule or form) promulgated under the Exchange Act, whether or not the Company is then subject to such reporting requirement, </w:t>
      </w:r>
      <w:r>
        <w:rPr>
          <w:rFonts w:ascii="Times New Roman" w:hAnsi="Times New Roman"/>
          <w:i/>
          <w:color w:val="000000"/>
          <w:sz w:val="22"/>
        </w:rPr>
        <w:t xml:space="preserve">except </w:t>
      </w:r>
      <w:r>
        <w:rPr>
          <w:rFonts w:ascii="Times New Roman" w:hAnsi="Times New Roman"/>
          <w:color w:val="000000"/>
          <w:sz w:val="22"/>
        </w:rPr>
        <w:t xml:space="preserve">the completion of the Company’s initial public offering shall not be considered a Change in Control.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color w:val="000000"/>
        </w:rPr>
        <w:t>“</w:t>
      </w:r>
      <w:r>
        <w:rPr>
          <w:rFonts w:ascii="Times New Roman" w:hAnsi="Times New Roman"/>
          <w:b/>
          <w:i/>
          <w:color w:val="000000"/>
          <w:sz w:val="22"/>
        </w:rPr>
        <w:t>Corporate Status</w:t>
      </w:r>
      <w:r>
        <w:rPr>
          <w:color w:val="000000"/>
        </w:rPr>
        <w:t xml:space="preserve">” </w:t>
      </w:r>
      <w:r>
        <w:rPr>
          <w:rFonts w:ascii="Times New Roman" w:hAnsi="Times New Roman"/>
          <w:color w:val="000000"/>
          <w:sz w:val="22"/>
        </w:rPr>
        <w:t xml:space="preserve">describes the status of a person who is or was a director, trustee, general partner, managing member or manager, officer, employee, agent or fiduciary of the Company or any other Enterprise.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color w:val="000000"/>
        </w:rPr>
        <w:t>“</w:t>
      </w:r>
      <w:r>
        <w:rPr>
          <w:rFonts w:ascii="Times New Roman" w:hAnsi="Times New Roman"/>
          <w:b/>
          <w:i/>
          <w:color w:val="000000"/>
          <w:sz w:val="22"/>
        </w:rPr>
        <w:t>Disinterested Director</w:t>
      </w:r>
      <w:r>
        <w:rPr>
          <w:color w:val="000000"/>
        </w:rPr>
        <w:t xml:space="preserve">” </w:t>
      </w:r>
      <w:r>
        <w:rPr>
          <w:rFonts w:ascii="Times New Roman" w:hAnsi="Times New Roman"/>
          <w:color w:val="000000"/>
          <w:sz w:val="22"/>
        </w:rPr>
        <w:t xml:space="preserve">means a director of the Company who is not and was not a party to the Proceeding in respect of which indemnification is sought by Indemnitee.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pPr>
      <w:r>
        <w:rPr>
          <w:color w:val="000000"/>
        </w:rPr>
        <w:t>“</w:t>
      </w:r>
      <w:r>
        <w:rPr>
          <w:rFonts w:ascii="Times New Roman" w:hAnsi="Times New Roman"/>
          <w:b/>
          <w:i/>
          <w:color w:val="000000"/>
          <w:sz w:val="22"/>
        </w:rPr>
        <w:t>Enterprise</w:t>
      </w:r>
      <w:r>
        <w:rPr>
          <w:color w:val="000000"/>
        </w:rPr>
        <w:t xml:space="preserve">” </w:t>
      </w:r>
      <w:r>
        <w:rPr>
          <w:rFonts w:ascii="Times New Roman" w:hAnsi="Times New Roman"/>
          <w:color w:val="000000"/>
          <w:sz w:val="22"/>
        </w:rPr>
        <w:t xml:space="preserve">means the Company and any other corporation, partnership, limited liability company, joint venture, trust, employee benefit plan or other enterprise of which Indemnitee is or was serving at the request of the Company as a director, trustee, general partner, managing member or manager, officer, employee, agent or fiduciary.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pPr>
      <w:r>
        <w:rPr>
          <w:color w:val="000000"/>
        </w:rPr>
        <w:t>“</w:t>
      </w:r>
      <w:r>
        <w:rPr>
          <w:rFonts w:ascii="Times New Roman" w:hAnsi="Times New Roman"/>
          <w:b/>
          <w:i/>
          <w:color w:val="000000"/>
          <w:sz w:val="22"/>
        </w:rPr>
        <w:t>Expenses</w:t>
      </w:r>
      <w:r>
        <w:rPr>
          <w:color w:val="000000"/>
        </w:rPr>
        <w:t xml:space="preserve">” </w:t>
      </w:r>
      <w:r>
        <w:rPr>
          <w:rFonts w:ascii="Times New Roman" w:hAnsi="Times New Roman"/>
          <w:color w:val="000000"/>
          <w:sz w:val="22"/>
        </w:rPr>
        <w:t xml:space="preserve">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10(d), </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Expenses incurred by Indemnitee in connection with the interpretation, enforcement or defense of Indemnitee’s rights under this Agreement or under any directors’ and officers’ liability insurance policies maintained by the Company.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shall be presumed conclusively to be reasonable. Expenses, however, shall not include amounts paid in settlement by Indemnitee or the amount of judgments or fines against Indemnitee.</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pPr>
      <w:r>
        <w:rPr>
          <w:color w:val="000000"/>
        </w:rPr>
        <w:t>“</w:t>
      </w:r>
      <w:r>
        <w:rPr>
          <w:rFonts w:ascii="Times New Roman" w:hAnsi="Times New Roman"/>
          <w:b/>
          <w:i/>
          <w:color w:val="000000"/>
          <w:sz w:val="22"/>
        </w:rPr>
        <w:t>Independent Counsel</w:t>
      </w:r>
      <w:r>
        <w:rPr>
          <w:color w:val="000000"/>
        </w:rPr>
        <w:t xml:space="preserve">” </w:t>
      </w:r>
      <w:r>
        <w:rPr>
          <w:rFonts w:ascii="Times New Roman" w:hAnsi="Times New Roman"/>
          <w:color w:val="000000"/>
          <w:sz w:val="22"/>
        </w:rPr>
        <w:t xml:space="preserve">means a law firm, or a partner or member of a law firm, that is experienced in matters of corporation law and 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pPr>
      <w:r>
        <w:rPr>
          <w:color w:val="000000"/>
        </w:rPr>
        <w:t>“</w:t>
      </w:r>
      <w:r>
        <w:rPr>
          <w:rFonts w:ascii="Times New Roman" w:hAnsi="Times New Roman"/>
          <w:b/>
          <w:i/>
          <w:color w:val="000000"/>
          <w:sz w:val="22"/>
        </w:rPr>
        <w:t>NRS</w:t>
      </w:r>
      <w:r>
        <w:rPr>
          <w:color w:val="000000"/>
        </w:rPr>
        <w:t xml:space="preserve">” </w:t>
      </w:r>
      <w:r>
        <w:rPr>
          <w:rFonts w:ascii="Times New Roman" w:hAnsi="Times New Roman"/>
          <w:color w:val="000000"/>
          <w:sz w:val="22"/>
        </w:rPr>
        <w:t xml:space="preserve">means the Nevada Revised Statutes.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color w:val="000000"/>
        </w:rPr>
        <w:t>“</w:t>
      </w:r>
      <w:r>
        <w:rPr>
          <w:rFonts w:ascii="Times New Roman" w:hAnsi="Times New Roman"/>
          <w:b/>
          <w:i/>
          <w:color w:val="000000"/>
          <w:sz w:val="22"/>
        </w:rPr>
        <w:t>Person</w:t>
      </w:r>
      <w:r>
        <w:rPr>
          <w:color w:val="000000"/>
        </w:rPr>
        <w:t xml:space="preserve">” </w:t>
      </w:r>
      <w:r>
        <w:rPr>
          <w:rFonts w:ascii="Times New Roman" w:hAnsi="Times New Roman"/>
          <w:color w:val="000000"/>
          <w:sz w:val="22"/>
        </w:rPr>
        <w:t xml:space="preserve">shall have the meaning set forth in Sections 13(d) and 14(d) of the Exchange Act;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pPr>
      <w:r>
        <w:rPr>
          <w:color w:val="000000"/>
        </w:rPr>
        <w:t>“</w:t>
      </w:r>
      <w:r>
        <w:rPr>
          <w:rFonts w:ascii="Times New Roman" w:hAnsi="Times New Roman"/>
          <w:b/>
          <w:i/>
          <w:color w:val="000000"/>
          <w:sz w:val="22"/>
        </w:rPr>
        <w:t>Proceeding</w:t>
      </w:r>
      <w:r>
        <w:rPr>
          <w:color w:val="000000"/>
        </w:rPr>
        <w:t xml:space="preserve">” </w:t>
      </w:r>
      <w:r>
        <w:rPr>
          <w:rFonts w:ascii="Times New Roman" w:hAnsi="Times New Roman"/>
          <w:color w:val="000000"/>
          <w:sz w:val="22"/>
        </w:rPr>
        <w:t>means any threatened, pending or completed action, suit, claim, counterclaim, cross claim,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Indemnitee’s Corporate Status or (ii) any action taken (or any failure to take actions) by Indemnitee or any action or inaction on Indemnitee’s part while acting pursuant to Indemnitee’s Corporate Status, , in each case whether or not serving in such capacity at the time any liability or Expense is incurred for which indemnification or advancement of expenses can be provided under this Agreement. If the Indemnitee believes in good faith that a given situation may lead to or culminate in the institution of a Proceeding, this shall be considered a Proceeding under this paragraph.</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(k)</w:t>
      </w:r>
    </w:p>
    <w:p>
      <w:pPr>
        <w:pStyle w:val="TextBody"/>
        <w:bidi w:val="0"/>
        <w:spacing w:before="0" w:after="240"/>
        <w:jc w:val="both"/>
        <w:rPr/>
      </w:pPr>
      <w:r>
        <w:rPr>
          <w:color w:val="000000"/>
        </w:rPr>
        <w:t>“</w:t>
      </w:r>
      <w:r>
        <w:rPr>
          <w:rFonts w:ascii="Times New Roman" w:hAnsi="Times New Roman"/>
          <w:b/>
          <w:i/>
          <w:color w:val="000000"/>
          <w:sz w:val="22"/>
        </w:rPr>
        <w:t>to the fullest extent permitted by applicable law</w:t>
      </w:r>
      <w:r>
        <w:rPr>
          <w:color w:val="000000"/>
        </w:rPr>
        <w:t xml:space="preserve">” </w:t>
      </w:r>
      <w:r>
        <w:rPr>
          <w:rFonts w:ascii="Times New Roman" w:hAnsi="Times New Roman"/>
          <w:color w:val="000000"/>
          <w:sz w:val="22"/>
        </w:rPr>
        <w:t xml:space="preserve">means to the fullest extent permitted by all applicable laws, including without limitation: (i) the fullest extent permitted by the NRS as of the date of this Agreement and (ii) the fullest extent authorized or permitted by any amendments to or replacements of the NRS adopted after the date of this Agreement that increase the extent to which a corporation may indemnify its officers and directors.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w:t>
      </w:r>
    </w:p>
    <w:p>
      <w:pPr>
        <w:pStyle w:val="TextBody"/>
        <w:bidi w:val="0"/>
        <w:spacing w:before="0" w:after="240"/>
        <w:jc w:val="both"/>
        <w:rPr/>
      </w:pPr>
      <w:r>
        <w:rPr>
          <w:rFonts w:ascii="Times New Roman" w:hAnsi="Times New Roman"/>
          <w:color w:val="000000"/>
          <w:sz w:val="22"/>
        </w:rPr>
        <w:t>In connection with any Proceeding relating to an employee benefit plan: references to other Enterprises shall include employee benefit plans; references to “</w:t>
      </w:r>
      <w:r>
        <w:rPr>
          <w:rFonts w:ascii="Times New Roman" w:hAnsi="Times New Roman"/>
          <w:b/>
          <w:i/>
          <w:color w:val="000000"/>
          <w:sz w:val="22"/>
        </w:rPr>
        <w:t>fines</w:t>
      </w:r>
      <w:r>
        <w:rPr>
          <w:color w:val="000000"/>
        </w:rPr>
        <w:t xml:space="preserve">” </w:t>
      </w:r>
      <w:r>
        <w:rPr>
          <w:rFonts w:ascii="Times New Roman" w:hAnsi="Times New Roman"/>
          <w:color w:val="000000"/>
          <w:sz w:val="22"/>
        </w:rPr>
        <w:t>shall include any excise taxes assessed on a person with respect to any employee benefit plan; references to “</w:t>
      </w:r>
      <w:r>
        <w:rPr>
          <w:rFonts w:ascii="Times New Roman" w:hAnsi="Times New Roman"/>
          <w:b/>
          <w:i/>
          <w:color w:val="000000"/>
          <w:sz w:val="22"/>
        </w:rPr>
        <w:t>serving at the request of the Company</w:t>
      </w:r>
      <w:r>
        <w:rPr>
          <w:color w:val="000000"/>
        </w:rPr>
        <w:t xml:space="preserve">” </w:t>
      </w:r>
      <w:r>
        <w:rPr>
          <w:rFonts w:ascii="Times New Roman" w:hAnsi="Times New Roman"/>
          <w:color w:val="000000"/>
          <w:sz w:val="22"/>
        </w:rPr>
        <w:t xml:space="preserve">shall include any service as a director, officer, employee or agent of the Company which imposes duties on, or involves services by, such director, officer, employee or agent with respect to an </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hAnsi="Times New Roman"/>
          <w:b/>
          <w:i/>
          <w:color w:val="000000"/>
          <w:sz w:val="22"/>
        </w:rPr>
        <w:t>not opposed to the best interests of the Company</w:t>
      </w:r>
      <w:r>
        <w:rPr>
          <w:color w:val="000000"/>
        </w:rPr>
        <w:t xml:space="preserve">” </w:t>
      </w:r>
      <w:r>
        <w:rPr>
          <w:rFonts w:ascii="Times New Roman" w:hAnsi="Times New Roman"/>
          <w:color w:val="000000"/>
          <w:sz w:val="22"/>
        </w:rPr>
        <w:t>as referred to in this Agreement.</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Indemnity in Third-Party Proceedings</w:t>
      </w:r>
      <w:r>
        <w:rPr>
          <w:rFonts w:ascii="Times New Roman" w:hAnsi="Times New Roman"/>
          <w:color w:val="000000"/>
          <w:sz w:val="22"/>
        </w:rPr>
        <w:t xml:space="preserve">. The Company shall indemnify Indemnitee in accordance with the provisions of this Section 2 if Indemnitee is, or is threatened to be made, a party to or witness or other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 is not liable pursuant to NRS 78.138 or (b) acted in good faith and in a manner he or she reasonably believed to be in or not opposed to the best interests of the Company and, with respect to any criminal action or proceeding, had no reasonable cause to believe that his or her conduct was unlawful.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Indemnity in Proceedings by or in the Right of the Company</w:t>
      </w:r>
      <w:r>
        <w:rPr>
          <w:rFonts w:ascii="Times New Roman" w:hAnsi="Times New Roman"/>
          <w:color w:val="000000"/>
          <w:sz w:val="22"/>
        </w:rPr>
        <w:t xml:space="preserve">. The Company shall indemnify Indemnitee in accordance with the provisions of this Section 3 if Indemnitee is, or is threatened to be made, a party to or a witness or other participant in any Proceeding by or in the right of the Company to procure a judgment in its favor. Pursuant to this Section 3, Indemnitee shall be indemnified to the fullest extent permitted by applicable law against all Expenses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any court in which the Proceeding was brought shall determine upon application that, despite the adjudication of liability but in view of all the circumstances of the case, Indemnitee is fairly and reasonably entitled to indemnification for such expenses as such court shall deem proper.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Indemnification for Expenses of a Party Who is Wholly or Partly Successful</w:t>
      </w:r>
      <w:r>
        <w:rPr>
          <w:rFonts w:ascii="Times New Roman" w:hAnsi="Times New Roman"/>
          <w:color w:val="000000"/>
          <w:sz w:val="22"/>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and amounts paid in settlement actually and reasonably incurred by or on behalf of Indemnitee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or related to each successfully resolved claim, issue or matter to the fullest extent permitted by law. For purposes of this Section 4, the termination of any claim, issue or matter in such a Proceeding by dismissal, with or without prejudice, shall be deemed to be a successful result as to such claim, issue or matter.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w:t>
      </w:r>
    </w:p>
    <w:p>
      <w:pPr>
        <w:pStyle w:val="TextBody"/>
        <w:bidi w:val="0"/>
        <w:jc w:val="both"/>
        <w:rPr/>
      </w:pPr>
      <w:r>
        <w:rPr>
          <w:rFonts w:ascii="Times New Roman" w:hAnsi="Times New Roman"/>
          <w:b/>
          <w:color w:val="000000"/>
          <w:sz w:val="22"/>
        </w:rPr>
        <w:t>Indemnification For Expenses of a Witness</w:t>
      </w:r>
      <w:r>
        <w:rPr>
          <w:rFonts w:ascii="Times New Roman" w:hAnsi="Times New Roman"/>
          <w:color w:val="000000"/>
          <w:sz w:val="22"/>
        </w:rPr>
        <w:t>. Notwithstanding any other provision of this Agreement, to the fullest extent permitted by applicable law and to the extent that Indemnitee is, by reason of Indemnitee's Corporate Status, a witness, is or was made (or asked) to respond to discovery requests in any Proceeding, or otherwise asked to participate in any Proceeding to which Indemnitee is not a party, Indemnitee shall be indemnified against all Expenses actually and reasonably incurred by Indemnitee or on Indemnitee's behalf in connection therewith.</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w:t>
      </w:r>
    </w:p>
    <w:p>
      <w:pPr>
        <w:pStyle w:val="TextBody"/>
        <w:bidi w:val="0"/>
        <w:jc w:val="both"/>
        <w:rPr/>
      </w:pPr>
      <w:r>
        <w:rPr>
          <w:rFonts w:ascii="Times New Roman" w:hAnsi="Times New Roman"/>
          <w:b/>
          <w:color w:val="000000"/>
          <w:sz w:val="22"/>
        </w:rPr>
        <w:t>Partial Indemnification</w:t>
      </w:r>
      <w:r>
        <w:rPr>
          <w:rFonts w:ascii="Times New Roman" w:hAnsi="Times New Roman"/>
          <w:color w:val="000000"/>
          <w:sz w:val="22"/>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w:t>
      </w:r>
    </w:p>
    <w:p>
      <w:pPr>
        <w:pStyle w:val="TextBody"/>
        <w:bidi w:val="0"/>
        <w:jc w:val="both"/>
        <w:rPr/>
      </w:pPr>
      <w:r>
        <w:rPr>
          <w:rFonts w:ascii="Times New Roman" w:hAnsi="Times New Roman"/>
          <w:b/>
          <w:color w:val="000000"/>
          <w:sz w:val="22"/>
        </w:rPr>
        <w:t>Additional Indemnification</w:t>
      </w:r>
      <w:r>
        <w:rPr>
          <w:rFonts w:ascii="Times New Roman" w:hAnsi="Times New Roman"/>
          <w:color w:val="000000"/>
          <w:sz w:val="22"/>
        </w:rPr>
        <w:t>. Notwithstanding any limitation in Sections 4, 5 or 6, the Company shall indemnify Indemnitee to the fullest extent permitted by applicable law if Indemnitee is, or is threatened to be made, a party to or a participant in any Proceeding (including a Proceeding by or in the right of the Company to procure a judgment in its favor) by reason of Indemnitee's Corporate Status. The parties hereto intend that this Agreement shall provide to the fullest extent permitted by law for indemnification in excess of that expressly permitted by statute, including, without limitation, any indemnification provided by the Company’s articles of incorporation (as amended from time to time, the “</w:t>
      </w:r>
      <w:r>
        <w:rPr>
          <w:rFonts w:ascii="Times New Roman" w:hAnsi="Times New Roman"/>
          <w:b/>
          <w:i/>
          <w:color w:val="000000"/>
          <w:sz w:val="22"/>
        </w:rPr>
        <w:t>Articles of Incorporation</w:t>
      </w:r>
      <w:r>
        <w:rPr>
          <w:color w:val="000000"/>
        </w:rPr>
        <w:t>”</w:t>
      </w:r>
      <w:r>
        <w:rPr>
          <w:rFonts w:ascii="Times New Roman" w:hAnsi="Times New Roman"/>
          <w:color w:val="000000"/>
          <w:sz w:val="22"/>
        </w:rPr>
        <w:t>), the Company’s bylaws (as amended from time to time, the “</w:t>
      </w:r>
      <w:r>
        <w:rPr>
          <w:rFonts w:ascii="Times New Roman" w:hAnsi="Times New Roman"/>
          <w:b/>
          <w:i/>
          <w:color w:val="000000"/>
          <w:sz w:val="22"/>
        </w:rPr>
        <w:t>Bylaws</w:t>
      </w:r>
      <w:r>
        <w:rPr>
          <w:color w:val="000000"/>
        </w:rPr>
        <w:t>”</w:t>
      </w:r>
      <w:r>
        <w:rPr>
          <w:rFonts w:ascii="Times New Roman" w:hAnsi="Times New Roman"/>
          <w:color w:val="000000"/>
          <w:sz w:val="22"/>
        </w:rPr>
        <w:t>), vote of the Company’s stockholders or disinterested directors or applicable law.</w:t>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Exclusions</w:t>
      </w:r>
      <w:r>
        <w:rPr>
          <w:rFonts w:ascii="Times New Roman" w:hAnsi="Times New Roman"/>
          <w:color w:val="000000"/>
          <w:sz w:val="22"/>
        </w:rPr>
        <w:t xml:space="preserve">. Notwithstanding any provision in this Agreement, the Company shall not be obligated under this Agreement to make any indemnity in connection with any Proceeding (or any part of any Proceeding):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which payment has actually been made to or on behalf of Indemnitee under any statute, insurance policy, indemnity provision, vote or otherwise, except with respect to any excess beyond the amount paid;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an accounting or disgorgement of profits pursuant to Section 16(b) of the Exchange Act, or similar provisions of federal, state or local statutory law or common law, if Indemnitee is held liable therefor (including pursuant to any settlement arrangements);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color w:val="000000"/>
          <w:sz w:val="22"/>
        </w:rPr>
        <w:t>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Times New Roman" w:hAnsi="Times New Roman"/>
          <w:b/>
          <w:i/>
          <w:color w:val="000000"/>
          <w:sz w:val="22"/>
        </w:rPr>
        <w:t>Sarbanes-Oxley Act</w:t>
      </w:r>
      <w:r>
        <w:rPr>
          <w:color w:val="000000"/>
        </w:rPr>
        <w:t>”</w:t>
      </w:r>
      <w:r>
        <w:rPr>
          <w:rFonts w:ascii="Times New Roman" w:hAnsi="Times New Roman"/>
          <w:color w:val="000000"/>
          <w:sz w:val="22"/>
        </w:rPr>
        <w:t xml:space="preserve">), or the payment to the Company of profits arising from the purchase and sale by Indemnitee of securities in violation of Section 306 of the Sarbanes-Oxley Act), if Indemnitee is held liable therefor (including pursuant to any settlement arrangements);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color w:val="000000"/>
          <w:sz w:val="22"/>
        </w:rPr>
        <w:t>for any reimbursement (such Proceeding, a “</w:t>
      </w:r>
      <w:r>
        <w:rPr>
          <w:rFonts w:ascii="Times New Roman" w:hAnsi="Times New Roman"/>
          <w:b/>
          <w:i/>
          <w:color w:val="000000"/>
          <w:sz w:val="22"/>
        </w:rPr>
        <w:t>Clawback Proceeding</w:t>
      </w:r>
      <w:r>
        <w:rPr>
          <w:color w:val="000000"/>
        </w:rPr>
        <w:t>”</w:t>
      </w:r>
      <w:r>
        <w:rPr>
          <w:rFonts w:ascii="Times New Roman" w:hAnsi="Times New Roman"/>
          <w:color w:val="000000"/>
          <w:sz w:val="22"/>
        </w:rPr>
        <w: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(a “</w:t>
      </w:r>
      <w:r>
        <w:rPr>
          <w:rFonts w:ascii="Times New Roman" w:hAnsi="Times New Roman"/>
          <w:b/>
          <w:i/>
          <w:color w:val="000000"/>
          <w:sz w:val="22"/>
        </w:rPr>
        <w:t>Clawback Policy</w:t>
      </w:r>
      <w:r>
        <w:rPr>
          <w:color w:val="000000"/>
        </w:rPr>
        <w:t>”</w:t>
      </w:r>
      <w:r>
        <w:rPr>
          <w:rFonts w:ascii="Times New Roman" w:hAnsi="Times New Roman"/>
          <w:color w:val="000000"/>
          <w:sz w:val="22"/>
        </w:rPr>
        <w:t xml:space="preserve">). In furtherance of paragraph (d) of this Section 8, Indemnitee hereby agrees to abide by the terms of any Clawback Policy, including, without limitation, by returning any compensation to the Company to the extent required by, and in a manner permitted by, the Clawback Policy, and hereby understands and agrees that Indemnitee shall not be entitled to any (x) indemnification for any liability (including any amounts owed by Indemnitee in a judgment or settlement of any Clawback Proceeding) or loss (including judgments, fines, taxes, penalties or amounts paid in settlement by or on behalf of Indemnitee) incurred by Indemnitee in connection with any Clawback Proceeding or (y) indemnification or advancement of Expenses (including attorneys’ fees) from the Company and or any subsidiary of the Company incurred by Indemnitee in connection any Clawback Proceeding; provided, however, if Indemnitee is successful on the merits in the defense of any claim asserted against Indemnitee in a Clawback Proceeding, Indemnitee shall be indemnified for the Expenses (including attorneys’ fees) Indemnitee reasonably incurred to defend such claim. Indemnitee hereby knowingly, voluntarily and </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intentionally waives, and agrees not to assert any claim regarding, all indemnification, advancement of Expenses and other rights to which the Indemnitee is now or becomes entitled to under this Agreement, the Articles of Incorporation, the Bylaws, the governing documents of each subsidiary of the Company and the NRS, in each case to the extent such waiver and agreement is necessary to give effect to the preceding sentence of this paragraph. Indemnitee agrees and acknowledges that the compensation Indemnitee has or will receive from the Company or any of its subsidiaries constitutes fair and adequate consideration in exchange for the waiver and agreement provided by Indemnitee in this paragraph.</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13(d) or (iv) otherwise required by applicable law; provided, for the avoidance of doubt, Indemnitee shall not be deemed for purposes of this paragraph, to have initiated any Proceeding (or any part of a Proceeding) by reason of (i) having asserted any affirmative defenses in connection with a claim not initiated by Indemnitee or (ii) having made any counterclaim (whether permissive or mandatory) in connection with any claim not initiated by Indemnitee; or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and then only to the extent prohibited by the NRS or other applicable law.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Advances of Expenses</w:t>
      </w:r>
      <w:r>
        <w:rPr>
          <w:rFonts w:ascii="Times New Roman" w:hAnsi="Times New Roman"/>
          <w:color w:val="000000"/>
          <w:sz w:val="22"/>
        </w:rPr>
        <w:t xml:space="preserve">. The Company shall advance the Expenses incurred by Indemnitee in connection with any Proceeding prior to its final disposition,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w:t>
      </w:r>
      <w:r>
        <w:rPr>
          <w:rFonts w:ascii="Times New Roman" w:hAnsi="Times New Roman"/>
          <w:i/>
          <w:color w:val="000000"/>
          <w:sz w:val="22"/>
        </w:rPr>
        <w:t>except</w:t>
      </w:r>
      <w:r>
        <w:rPr>
          <w:rFonts w:ascii="Times New Roman" w:hAnsi="Times New Roman"/>
          <w:color w:val="000000"/>
          <w:sz w:val="22"/>
        </w:rPr>
        <w:t xml:space="preserve">, with respect to advances of expenses made pursuant to Section 13(d), in which case Indemnitee makes the undertaking provided in Section 13(d). This Section 9 shall not apply to the extent advancement is prohibited by law and shall not apply to any Proceeding (or any part of any Proceeding) for which indemnity is not permitted under this Agreement, but shall apply to any Proceeding (or any part of any Proceeding) referenced in Section 8(b) or 8(c) prior to a determination that Indemnitee is not entitled to be indemnified by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Procedures for Notification and Defense of Claim</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that it may have to Indemnitee hereunder or otherwise than under this Agreement, and any delay in so notifying the Company shall not constitute a waiver by Indemnitee of any rights, except to the extent that such failure or delay materially prejudices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in accordance with the procedures set forth in the applicable policies. The Company shall thereafter take all commercially reasonable action to cause such insurers to pay, on behalf of Indemnitee, all amounts payable as a result of such Proceeding in accordance with the terms of such policies.</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Indemnitee shall give the Company such information and cooperation in connection with the Proceeding as may be reasonably appropriate.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shall not be liable to indemnify Indemnitee for any settlement of any Proceeding (or any part thereof) effected without the 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shall not settle any Proceeding (or any part thereof) in a manner that imposes any Expense, judgment, fine, penalty, liability or limitation on Indemnitee not paid by the Company without Indemnitee’s prior written consent, which shall not be unreasonably withheld, conditioned or delayed.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pPr>
      <w:r>
        <w:rPr>
          <w:rFonts w:ascii="Times New Roman" w:hAnsi="Times New Roman"/>
          <w:b/>
          <w:color w:val="000000"/>
          <w:sz w:val="22"/>
        </w:rPr>
        <w:t>Procedures upon Application for Indemnification</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Upon written request by Indemnitee for indemnification pursuant to Section 11(a), a determination with respect to Indemnitee’s entitlement thereto shall be made as follows, provided that a Change in Control shall not have occurred: (i) by a majority vote of the Disinterested Directors, even though less than a quorum of the Company’s board of directors; (ii) by a committee of Disinterested Directors designated by a majority vote of the Disinterested Directors, even though less than a quorum of the </w:t>
      </w:r>
    </w:p>
    <w:p>
      <w:pPr>
        <w:pStyle w:val="TextBody"/>
        <w:bidi w:val="0"/>
        <w:jc w:val="left"/>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Company’s board of directors; (iii) if there are no such Disinterested Directors or, if a majority of Disinterested Directors so direct, by Independent Counsel in a written opinion to the Company’s board of directors, a copy of which shall be delivered to Indemnitee; or (iv) if so directed by the Company’s board of directors, by the stockholders of the Company. If a Change in Control shall have occurred, unless Indemnitee requests that the Disinterested Directors make the determination,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 The Company promptly will advise Indemnitee in writing with respect to any determination that Indemnitee is or is not entitled to indemnification, including a description of any reason or basis for which indemnification has been denied.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the determination of entitlement to indemnification is to be made by Independent Counsel pursuant to Section 11(b), the Independent Counsel shall be selected as provided in this Section 11(c).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1,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11(a) and (ii) the final disposition of the Proceeding, the parties have not agreed upon an Independent Counsel, either the Company or Indemnitee may petition a court of competent jurisdiction for resolution of any objection that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11(b). Upon the due commencement of any judicial proceeding or arbitration pursuant to Section 13(a), the Independent Counsel shall be discharged and relieved of any further responsibility in such capacity (subject to the applicable standards of professional conduct then prevailing).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shall pay the reasonable fees and expenses of any Independent Counsel and to fully indemnify such counsel against any and all Expenses, claims, liabilities and damages arising out of or relating to this Agreement or its engagement pursuant hereto. </w:t>
      </w:r>
    </w:p>
    <w:p>
      <w:pPr>
        <w:pStyle w:val="TextBody"/>
        <w:bidi w:val="0"/>
        <w:jc w:val="left"/>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w:t>
      </w:r>
    </w:p>
    <w:p>
      <w:pPr>
        <w:pStyle w:val="TextBody"/>
        <w:bidi w:val="0"/>
        <w:jc w:val="left"/>
        <w:rPr>
          <w:rFonts w:ascii="Times New Roman" w:hAnsi="Times New Roman"/>
          <w:color w:val="000000"/>
          <w:sz w:val="22"/>
        </w:rPr>
      </w:pPr>
      <w:r>
        <w:rPr>
          <w:rFonts w:ascii="Times New Roman" w:hAnsi="Times New Roman"/>
          <w:color w:val="000000"/>
          <w:sz w:val="22"/>
        </w:rPr>
        <w:t xml:space="preserve">If the Company disputes a portion of the amounts for which indemnification is requested, the undisputed portion shall be paid and only the disputed portion withheld pending resolution of any such dispute. </w:t>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rFonts w:ascii="Times New Roman" w:hAnsi="Times New Roman"/>
          <w:b/>
          <w:color w:val="000000"/>
          <w:sz w:val="22"/>
        </w:rPr>
        <w:t>Presumptions and Effect of Certain Proceedings</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making a determination with respect to entitlement to indemnification hereunder, the person,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by clear and convincing evidence..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color w:val="000000"/>
          <w:sz w:val="22"/>
        </w:rPr>
        <w:t xml:space="preserve">Subject to Section 13(e), if the person, persons or entity empowered or selected under Section 11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30-day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the foregoing provisions of this Section 12(b) shall not apply (i) if the determination of entitlement to indemnification is to be made by the stockholders pursuant to Section 11(b) of this Agreement and if (A) within fifteen (15) days after receipt by the Company of the request for such determination the Company’s board of directors has resolved to submit such determination to the stockholders for their consideration at an annual meeting thereof to be held within ninety (90)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8(b) of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color w:val="000000"/>
          <w:sz w:val="22"/>
        </w:rPr>
        <w:t xml:space="preserve">The termination of any Proceeding or of any claim, issue or matter therein, by judgment, order, settlement or conviction, or upon a plea of </w:t>
      </w:r>
      <w:r>
        <w:rPr>
          <w:rFonts w:ascii="Times New Roman" w:hAnsi="Times New Roman"/>
          <w:i/>
          <w:color w:val="000000"/>
          <w:sz w:val="22"/>
        </w:rPr>
        <w:t>nolo</w:t>
      </w:r>
      <w:r>
        <w:rPr>
          <w:color w:val="000000"/>
        </w:rPr>
        <w:t xml:space="preserve"> </w:t>
      </w:r>
      <w:r>
        <w:rPr>
          <w:rFonts w:ascii="Times New Roman" w:hAnsi="Times New Roman"/>
          <w:i/>
          <w:color w:val="000000"/>
          <w:sz w:val="22"/>
        </w:rPr>
        <w:t>contendere</w:t>
      </w:r>
      <w:r>
        <w:rPr>
          <w:color w:val="000000"/>
        </w:rPr>
        <w:t xml:space="preserve"> </w:t>
      </w:r>
      <w:r>
        <w:rPr>
          <w:rFonts w:ascii="Times New Roman" w:hAnsi="Times New Roman"/>
          <w:color w:val="000000"/>
          <w:sz w:val="22"/>
        </w:rPr>
        <w:t xml:space="preserve">or its equivalent, shall not (except as otherwise expressly provided in this Agreement) of itself adversely affect the right of Indemnitee to indemnification or create a presumption that Indemnitee did not act in good faith and in a manner that he or she reasonably believed to be in or not opposed to the best interests of the Company or, with respect to any criminal Proceeding, that Indemnitee had reasonable cause to believe that his or her conduct was unlawful.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12(d) shall not be deemed to be exclusive </w:t>
      </w:r>
    </w:p>
    <w:p>
      <w:pPr>
        <w:pStyle w:val="TextBody"/>
        <w:bidi w:val="0"/>
        <w:jc w:val="left"/>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or to limit in any way the other circumstances in which Indemnitee may be deemed to have met the applicable standard of conduct set forth in this Agreement.</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Neither the knowledge, actions nor failure to act of any other director, officer, agent or employee of the Enterprise shall be imputed to Indemnitee for purposes of determining the right to indemnification under this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rFonts w:ascii="Times New Roman" w:hAnsi="Times New Roman"/>
          <w:b/>
          <w:color w:val="000000"/>
          <w:sz w:val="22"/>
        </w:rPr>
        <w:t>Remedies of Indemnitee</w:t>
      </w:r>
      <w:r>
        <w:rPr>
          <w:rFonts w:ascii="Times New Roman" w:hAnsi="Times New Roman"/>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Section 13(e), in the event that (i) a determination is made pursuant to Section 11 of this Agreement that Indemnitee is not entitled to indemnification under this Agreement, (ii) advancement of Expenses is not timely made pursuant to Section 9 of this Agreement, (iii) no determination of entitlement to indemnification shall have been made pursuant to Sections 11(b) of this Agreement within sixty (60) days after receipt by the Company of the request for indemnification, (iv) payment of indemnification is not made pursuant to Sections 4, 5 and 6 of this Agreement within ten (10) days after receipt by the Company of a written request therefor, (v) payment of indemnification pursuant to Section 2, 3 or 7 of this Agreement is not made within ten (10) days after a determination has been made that Indemnitee is entitled to indemnification, or (vi)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Indemnitee's entitlement to such indemnification or advancement of Expenses. Alternatively, Indemnitee, at Indemnitee's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13(a). The Company shall not oppose Indemnitee's right to seek any such adjudication or award in arbitration.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color w:val="000000"/>
          <w:sz w:val="22"/>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11 that Indemnitee is not entitled to indemnification, any judicial proceeding or arbitration commenced pursuant to this Section 13 shall be conducted in all respects as a </w:t>
      </w:r>
      <w:r>
        <w:rPr>
          <w:rFonts w:ascii="Times New Roman" w:hAnsi="Times New Roman"/>
          <w:i/>
          <w:color w:val="000000"/>
          <w:sz w:val="22"/>
        </w:rPr>
        <w:t>de novo</w:t>
      </w:r>
      <w:r>
        <w:rPr>
          <w:color w:val="000000"/>
        </w:rPr>
        <w:t xml:space="preserve"> </w:t>
      </w:r>
      <w:r>
        <w:rPr>
          <w:rFonts w:ascii="Times New Roman" w:hAnsi="Times New Roman"/>
          <w:color w:val="000000"/>
          <w:sz w:val="22"/>
        </w:rPr>
        <w:t xml:space="preserve">trial, or arbitration, on the merits, and Indemnitee shall not be prejudiced by reason of that adverse determination. In any judicial proceeding or arbitration commenced pursuant to this Section 13, the Company shall, to the fullest extent not prohibited by law, have the burden of proving Indemnitee is not entitled to indemnification or advancement of Expenses, as the case may be, and the burden of proof shall be by clear and convincing evidence.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fullest extent not prohibited by law, the Company shall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13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statements not materially misleading, </w:t>
      </w:r>
    </w:p>
    <w:p>
      <w:pPr>
        <w:pStyle w:val="TextBody"/>
        <w:bidi w:val="0"/>
        <w:jc w:val="left"/>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in connection with the request for indemnification, or (ii) a prohibition of such indemnification under applicable law.</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To the extent not prohibited by law, the Company shall indemnify Indemnitee against all Expenses incurred by Indemnitee in connection with any action for indemnification or advancement of Expenses from the Company under this Agreement, any other agreement, the Articles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9. Indemnitee hereby undertakes to repay such advances to the extent the Indemnitee is ultimately unsuccessful in such action or arbitration.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anything in this Agreement to the contrary, no determination as to entitlement to indemnification shall be required to be made prior to the final disposition of the Proceeding.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Contribution</w:t>
      </w:r>
      <w:r>
        <w:rPr>
          <w:rFonts w:ascii="Times New Roman" w:hAnsi="Times New Roman"/>
          <w:color w:val="000000"/>
          <w:sz w:val="22"/>
        </w:rPr>
        <w:t xml:space="preserve">. To the fullest extent permissible under applicable law, if the indemnification provided for in this 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0" w:after="240"/>
        <w:jc w:val="both"/>
        <w:rPr/>
      </w:pPr>
      <w:r>
        <w:rPr>
          <w:rFonts w:ascii="Times New Roman" w:hAnsi="Times New Roman"/>
          <w:b/>
          <w:color w:val="000000"/>
          <w:sz w:val="22"/>
        </w:rPr>
        <w:t>Non-exclusivity</w:t>
      </w:r>
      <w:r>
        <w:rPr>
          <w:rFonts w:ascii="Times New Roman" w:hAnsi="Times New Roman"/>
          <w:color w:val="000000"/>
          <w:sz w:val="22"/>
        </w:rPr>
        <w:t xml:space="preserve">. The rights of indemnification and to receive advancement of Expenses as provided by this Agreement shall not be deemed exclusive of any other rights to which Indemnitee may at any time be entitled under applicable law, the Articles of Incorporation, the Bylaws, any agreement, a vote of stockholders or a resolution of directors, or otherwise. To the extent that a change in Nevada law, whether by statute or judicial decision, permits greater indemnification or advancement of Expenses than would be afforded currently under the Company’s Articles of Incorporation, Bylaws or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0" w:after="240"/>
        <w:jc w:val="both"/>
        <w:rPr/>
      </w:pPr>
      <w:r>
        <w:rPr>
          <w:rFonts w:ascii="Times New Roman" w:hAnsi="Times New Roman"/>
          <w:b/>
          <w:color w:val="000000"/>
          <w:sz w:val="22"/>
        </w:rPr>
        <w:t>Primary Responsibility</w:t>
      </w:r>
      <w:r>
        <w:rPr>
          <w:rFonts w:ascii="Times New Roman" w:hAnsi="Times New Roman"/>
          <w:color w:val="000000"/>
          <w:sz w:val="22"/>
        </w:rPr>
        <w:t>. 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Times New Roman" w:hAnsi="Times New Roman"/>
          <w:b/>
          <w:i/>
          <w:color w:val="000000"/>
          <w:sz w:val="22"/>
        </w:rPr>
        <w:t>Secondary Indemnitors</w:t>
      </w:r>
      <w:r>
        <w:rPr>
          <w:color w:val="000000"/>
        </w:rPr>
        <w:t>”</w:t>
      </w:r>
      <w:r>
        <w:rPr>
          <w:rFonts w:ascii="Times New Roman" w:hAnsi="Times New Roman"/>
          <w:color w:val="000000"/>
          <w:sz w:val="22"/>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w:t>
      </w:r>
    </w:p>
    <w:p>
      <w:pPr>
        <w:pStyle w:val="TextBody"/>
        <w:bidi w:val="0"/>
        <w:jc w:val="left"/>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advanced under the Articles of Incorporation, the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16. In the event of any payment by the Secondary Indemnitors of amounts otherwise required to be indemnified or advanced by the Company under the Articles of Incorporation, the Bylaws or this Agreement, the Secondary Indemnitors shall be subrogated to the extent of such payment to all of the rights of recovery of Indemnitee for indemnification or advancement of expenses under the Articles of Incorporation, the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0" w:after="240"/>
        <w:jc w:val="both"/>
        <w:rPr/>
      </w:pPr>
      <w:r>
        <w:rPr>
          <w:rFonts w:ascii="Times New Roman" w:hAnsi="Times New Roman"/>
          <w:b/>
          <w:color w:val="000000"/>
          <w:sz w:val="22"/>
        </w:rPr>
        <w:t>No Duplication of Payments</w:t>
      </w:r>
      <w:r>
        <w:rPr>
          <w:rFonts w:ascii="Times New Roman" w:hAnsi="Times New Roman"/>
          <w:color w:val="000000"/>
          <w:sz w:val="22"/>
        </w:rPr>
        <w:t xml:space="preserve">. Subject to Section 16, the Company shall not be liable under this Agreement to make any payment of amounts otherwise indemnifiable hereunder (or for which advancement is provided hereunder) if and to the extent that Indemnitee has otherwise actually received payment for such amounts under any insurance policy, contract, agreement or otherwise.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18.</w:t>
      </w:r>
    </w:p>
    <w:p>
      <w:pPr>
        <w:pStyle w:val="TextBody"/>
        <w:bidi w:val="0"/>
        <w:spacing w:before="0" w:after="240"/>
        <w:jc w:val="both"/>
        <w:rPr/>
      </w:pPr>
      <w:r>
        <w:rPr>
          <w:rFonts w:ascii="Times New Roman" w:hAnsi="Times New Roman"/>
          <w:b/>
          <w:color w:val="000000"/>
          <w:sz w:val="22"/>
        </w:rPr>
        <w:t>Insurance</w:t>
      </w:r>
      <w:r>
        <w:rPr>
          <w:rFonts w:ascii="Times New Roman" w:hAnsi="Times New Roman"/>
          <w:color w:val="000000"/>
          <w:sz w:val="22"/>
        </w:rPr>
        <w:t xml:space="preserve">. To the extent that the Company maintains an insurance policy or policies providing liability insurance for directors, 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19.</w:t>
      </w:r>
    </w:p>
    <w:p>
      <w:pPr>
        <w:pStyle w:val="TextBody"/>
        <w:bidi w:val="0"/>
        <w:spacing w:before="0" w:after="240"/>
        <w:jc w:val="both"/>
        <w:rPr/>
      </w:pPr>
      <w:r>
        <w:rPr>
          <w:rFonts w:ascii="Times New Roman" w:hAnsi="Times New Roman"/>
          <w:b/>
          <w:color w:val="000000"/>
          <w:sz w:val="22"/>
        </w:rPr>
        <w:t>Subrogation</w:t>
      </w:r>
      <w:r>
        <w:rPr>
          <w:rFonts w:ascii="Times New Roman" w:hAnsi="Times New Roman"/>
          <w:color w:val="000000"/>
          <w:sz w:val="22"/>
        </w:rPr>
        <w:t xml:space="preserve">. Subject to Section 16,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20.</w:t>
      </w:r>
    </w:p>
    <w:p>
      <w:pPr>
        <w:pStyle w:val="TextBody"/>
        <w:bidi w:val="0"/>
        <w:spacing w:before="0" w:after="240"/>
        <w:jc w:val="both"/>
        <w:rPr/>
      </w:pPr>
      <w:r>
        <w:rPr>
          <w:rFonts w:ascii="Times New Roman" w:hAnsi="Times New Roman"/>
          <w:b/>
          <w:color w:val="000000"/>
          <w:sz w:val="22"/>
        </w:rPr>
        <w:t>Services to the Company</w:t>
      </w:r>
      <w:r>
        <w:rPr>
          <w:rFonts w:ascii="Times New Roman" w:hAnsi="Times New Roman"/>
          <w:color w:val="000000"/>
          <w:sz w:val="22"/>
        </w:rPr>
        <w:t xml:space="preserve">. Indemnitee agrees to serve as a director or officer of the Company or, at the request of the Company, as a director, trustee, general partner, managing member or manager,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Articles of Incorporation, the Bylaws or the NRS. No such document shall be subject to any oral modification thereof.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0" w:after="240"/>
        <w:jc w:val="both"/>
        <w:rPr/>
      </w:pPr>
      <w:r>
        <w:rPr>
          <w:rFonts w:ascii="Times New Roman" w:hAnsi="Times New Roman"/>
          <w:b/>
          <w:color w:val="000000"/>
          <w:sz w:val="22"/>
        </w:rPr>
        <w:t>Duration</w:t>
      </w:r>
      <w:r>
        <w:rPr>
          <w:rFonts w:ascii="Times New Roman" w:hAnsi="Times New Roman"/>
          <w:color w:val="000000"/>
          <w:sz w:val="22"/>
        </w:rPr>
        <w:t xml:space="preserve">. This Agreement shall continue until and terminate upon the later of (a) ten years after the date that Indemnitee shall have ceased to serve as a director or officer of the Company or as a director, trustee, general partner, managing member, officer, employee, agent or fiduciary of any other Enterprise, as applicable; or (b) one year after the final termination of any Proceeding, including any appeal, </w:t>
      </w:r>
    </w:p>
    <w:p>
      <w:pPr>
        <w:pStyle w:val="TextBody"/>
        <w:bidi w:val="0"/>
        <w:jc w:val="left"/>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then pending in respect of which Indemnitee is granted rights of indemnification or advancement of Expenses hereunder and of any Proceeding commenced by Indemnitee pursuant to Section 13 relating thereto.</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0" w:after="240"/>
        <w:jc w:val="both"/>
        <w:rPr/>
      </w:pPr>
      <w:r>
        <w:rPr>
          <w:rFonts w:ascii="Times New Roman" w:hAnsi="Times New Roman"/>
          <w:b/>
          <w:color w:val="000000"/>
          <w:sz w:val="22"/>
        </w:rPr>
        <w:t>Successors</w:t>
      </w:r>
      <w:r>
        <w:rPr>
          <w:rFonts w:ascii="Times New Roman" w:hAnsi="Times New Roman"/>
          <w:color w:val="000000"/>
          <w:sz w:val="22"/>
        </w:rPr>
        <w:t xml:space="preserve">. This Agreement shall be binding upon the Company and its successors and assigns, including any direct or indirect successor, by 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w:t>
      </w:r>
    </w:p>
    <w:p>
      <w:pPr>
        <w:pStyle w:val="TextBody"/>
        <w:bidi w:val="0"/>
        <w:spacing w:before="0" w:after="240"/>
        <w:jc w:val="both"/>
        <w:rPr/>
      </w:pPr>
      <w:r>
        <w:rPr>
          <w:rFonts w:ascii="Times New Roman" w:hAnsi="Times New Roman"/>
          <w:b/>
          <w:color w:val="000000"/>
          <w:sz w:val="22"/>
        </w:rPr>
        <w:t>Severability</w:t>
      </w:r>
      <w:r>
        <w:rPr>
          <w:rFonts w:ascii="Times New Roman" w:hAnsi="Times New Roman"/>
          <w:color w:val="000000"/>
          <w:sz w:val="22"/>
        </w:rPr>
        <w:t xml:space="preserve">. Nothing in this Agreement is intended to require or shall be construed as requiring the Company to do or 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24.</w:t>
      </w:r>
    </w:p>
    <w:p>
      <w:pPr>
        <w:pStyle w:val="TextBody"/>
        <w:bidi w:val="0"/>
        <w:spacing w:before="0" w:after="240"/>
        <w:jc w:val="both"/>
        <w:rPr/>
      </w:pPr>
      <w:r>
        <w:rPr>
          <w:rFonts w:ascii="Times New Roman" w:hAnsi="Times New Roman"/>
          <w:b/>
          <w:color w:val="000000"/>
          <w:sz w:val="22"/>
        </w:rPr>
        <w:t>Enforcement</w:t>
      </w:r>
      <w:r>
        <w:rPr>
          <w:rFonts w:ascii="Times New Roman" w:hAnsi="Times New Roman"/>
          <w:color w:val="000000"/>
          <w:sz w:val="22"/>
        </w:rPr>
        <w:t xml:space="preserve">.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25.</w:t>
      </w:r>
    </w:p>
    <w:p>
      <w:pPr>
        <w:pStyle w:val="TextBody"/>
        <w:bidi w:val="0"/>
        <w:spacing w:before="0" w:after="240"/>
        <w:jc w:val="both"/>
        <w:rPr/>
      </w:pPr>
      <w:r>
        <w:rPr>
          <w:rFonts w:ascii="Times New Roman" w:hAnsi="Times New Roman"/>
          <w:b/>
          <w:color w:val="000000"/>
          <w:sz w:val="22"/>
        </w:rPr>
        <w:t>Entire Agreement</w:t>
      </w:r>
      <w:r>
        <w:rPr>
          <w:rFonts w:ascii="Times New Roman" w:hAnsi="Times New Roman"/>
          <w:color w:val="000000"/>
          <w:sz w:val="22"/>
        </w:rPr>
        <w:t xml:space="preserve">. 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this Agreement is a supplement to and in furtherance of the Articles of Incorporation, the Bylaws and applicable law and shall not be deemed a substitute therefor, nor to diminish or abrogate any rights of Indemnitee thereunder.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26.</w:t>
      </w:r>
    </w:p>
    <w:p>
      <w:pPr>
        <w:pStyle w:val="TextBody"/>
        <w:bidi w:val="0"/>
        <w:spacing w:before="0" w:after="240"/>
        <w:jc w:val="both"/>
        <w:rPr/>
      </w:pPr>
      <w:r>
        <w:rPr>
          <w:rFonts w:ascii="Times New Roman" w:hAnsi="Times New Roman"/>
          <w:b/>
          <w:color w:val="000000"/>
          <w:sz w:val="22"/>
        </w:rPr>
        <w:t>Modification and Waiver</w:t>
      </w:r>
      <w:r>
        <w:rPr>
          <w:rFonts w:ascii="Times New Roman" w:hAnsi="Times New Roman"/>
          <w:color w:val="000000"/>
          <w:sz w:val="22"/>
        </w:rPr>
        <w:t xml:space="preserve">. No supplement, modification or amendment to this Agreement shall be binding unless 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27.</w:t>
      </w:r>
    </w:p>
    <w:p>
      <w:pPr>
        <w:pStyle w:val="TextBody"/>
        <w:bidi w:val="0"/>
        <w:spacing w:before="0" w:after="240"/>
        <w:jc w:val="both"/>
        <w:rPr/>
      </w:pPr>
      <w:r>
        <w:rPr>
          <w:rFonts w:ascii="Times New Roman" w:hAnsi="Times New Roman"/>
          <w:b/>
          <w:color w:val="000000"/>
          <w:sz w:val="22"/>
        </w:rPr>
        <w:t>Notices</w:t>
      </w:r>
      <w:r>
        <w:rPr>
          <w:rFonts w:ascii="Times New Roman" w:hAnsi="Times New Roman"/>
          <w:color w:val="000000"/>
          <w:sz w:val="22"/>
        </w:rPr>
        <w:t xml:space="preserve">. All notices and other communications required or permitted hereunder shall be in writing and shall be mailed by registered or certified mail, postage prepaid, sent by facsimile or electronic mail or otherwise delivered by hand, messenger or courier service addressed: </w:t>
      </w:r>
    </w:p>
    <w:p>
      <w:pPr>
        <w:pStyle w:val="TextBody"/>
        <w:bidi w:val="0"/>
        <w:jc w:val="left"/>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to Indemnitee, to Indemnitee’s address, facsimile number or electronic mail address as shown on the signature page of this Agreement or in the Company’s records, as may be updated in accordance with the provisions hereof; or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to the Company, to Tempus AI, Inc., 600 West Chicago Avenue, Suite 510, Chicago, Illinois 60654, Attention: General Counsel, or at such other current address as the Company shall have furnished to Indemnitee.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such notice or other communication shall for all purposes of this Agreement be treated as effective or having been given (i) if delivered by hand, messenger or courier service, when delivered (or if sent </w:t>
      </w:r>
      <w:r>
        <w:rPr>
          <w:rFonts w:ascii="Times New Roman" w:hAnsi="Times New Roman"/>
          <w:i/>
          <w:color w:val="000000"/>
          <w:sz w:val="22"/>
        </w:rPr>
        <w:t>via</w:t>
      </w:r>
      <w:r>
        <w:rPr>
          <w:rFonts w:ascii="Times New Roman" w:hAnsi="Times New Roman"/>
          <w:color w:val="000000"/>
          <w:sz w:val="20"/>
        </w:rPr>
        <w:t xml:space="preserve"> </w:t>
      </w:r>
      <w:r>
        <w:rPr>
          <w:rFonts w:ascii="Times New Roman" w:hAnsi="Times New Roman"/>
          <w:color w:val="000000"/>
          <w:sz w:val="22"/>
        </w:rPr>
        <w:t>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28.</w:t>
      </w:r>
    </w:p>
    <w:p>
      <w:pPr>
        <w:pStyle w:val="TextBody"/>
        <w:bidi w:val="0"/>
        <w:spacing w:before="0" w:after="240"/>
        <w:jc w:val="both"/>
        <w:rPr/>
      </w:pPr>
      <w:r>
        <w:rPr>
          <w:rFonts w:ascii="Times New Roman" w:hAnsi="Times New Roman"/>
          <w:b/>
          <w:color w:val="000000"/>
          <w:sz w:val="22"/>
        </w:rPr>
        <w:t>Applicable Law and Consent to Jurisdiction</w:t>
      </w:r>
      <w:r>
        <w:rPr>
          <w:rFonts w:ascii="Times New Roman" w:hAnsi="Times New Roman"/>
          <w:color w:val="000000"/>
          <w:sz w:val="22"/>
        </w:rPr>
        <w:t>. This Agreement shall be governed by, and construed and enforced in accordance with, the laws of the State of Nevada, without regard to its conflict of laws rules. Except with respect to any arbitration commenced by Indemnitee pursuant to Section 13(a), the Company and Indemnitee hereby irrevocably and unconditionally (i) agree that any action or proceeding arising out of or in connection with this Agreement shall be brought only in the Eighth Judicial District Court of the State of Nevada in Clark County, Nevada (the “</w:t>
      </w:r>
      <w:r>
        <w:rPr>
          <w:rFonts w:ascii="Times New Roman" w:hAnsi="Times New Roman"/>
          <w:b/>
          <w:i/>
          <w:color w:val="000000"/>
          <w:sz w:val="22"/>
        </w:rPr>
        <w:t>Nevada Court</w:t>
      </w:r>
      <w:r>
        <w:rPr>
          <w:color w:val="000000"/>
        </w:rPr>
        <w:t>”</w:t>
      </w:r>
      <w:r>
        <w:rPr>
          <w:rFonts w:ascii="Times New Roman" w:hAnsi="Times New Roman"/>
          <w:color w:val="000000"/>
          <w:sz w:val="22"/>
        </w:rPr>
        <w:t xml:space="preserve">), and not in any other state or federal court in the United States of America or any court in any other country, (ii) consent to submit to the exclusive jurisdiction of the Nevada Court for purposes of any action or proceeding arising out of or in connection with this Agreement, (iii) appoint, to the extent such party is not otherwise subject to service of process in the State of Nevada, Company’s registered agent in the State of Nevada as its agent in the State of Nevada as such party’s agent for acceptance of legal process in connection with any such action or proceeding against such party with the same legal force and validity as if served upon such party personally within the State of Nevada, (iv) waive any objection to the laying of venue of any such action or proceeding in the Nevada Court, and (v) waive, and agree not to plead or to make, any claim that any such action or proceeding brought in the Nevada Court has been brought in an improper or inconvenient forum.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29.</w:t>
      </w:r>
    </w:p>
    <w:p>
      <w:pPr>
        <w:pStyle w:val="TextBody"/>
        <w:bidi w:val="0"/>
        <w:spacing w:before="0" w:after="240"/>
        <w:jc w:val="both"/>
        <w:rPr/>
      </w:pPr>
      <w:r>
        <w:rPr>
          <w:rFonts w:ascii="Times New Roman" w:hAnsi="Times New Roman"/>
          <w:b/>
          <w:color w:val="000000"/>
          <w:sz w:val="22"/>
        </w:rPr>
        <w:t>Counterparts</w:t>
      </w:r>
      <w:r>
        <w:rPr>
          <w:rFonts w:ascii="Times New Roman" w:hAnsi="Times New Roman"/>
          <w:color w:val="000000"/>
          <w:sz w:val="22"/>
        </w:rPr>
        <w:t xml:space="preserve">. This Agreement may be executed in two or more counterparts, each of which shall for all purposes be 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30.</w:t>
      </w:r>
    </w:p>
    <w:p>
      <w:pPr>
        <w:pStyle w:val="TextBody"/>
        <w:bidi w:val="0"/>
        <w:spacing w:before="0" w:after="240"/>
        <w:jc w:val="both"/>
        <w:rPr/>
      </w:pPr>
      <w:r>
        <w:rPr>
          <w:rFonts w:ascii="Times New Roman" w:hAnsi="Times New Roman"/>
          <w:b/>
          <w:color w:val="000000"/>
          <w:sz w:val="22"/>
        </w:rPr>
        <w:t>Captions</w:t>
      </w:r>
      <w:r>
        <w:rPr>
          <w:rFonts w:ascii="Times New Roman" w:hAnsi="Times New Roman"/>
          <w:color w:val="000000"/>
          <w:sz w:val="22"/>
        </w:rPr>
        <w:t xml:space="preserve">. The headings of the paragraphs of this Agreement are inserted for convenience only and shall not be deemed to constitute part of this Agreement or to affect the construction thereof. </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spacing w:before="0" w:after="24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parties are signing this Indemnification Agreement as of the date stated in the introductory sentence.</w:t>
      </w:r>
    </w:p>
    <w:p>
      <w:pPr>
        <w:pStyle w:val="TextBody"/>
        <w:bidi w:val="0"/>
        <w:spacing w:before="0" w:after="480"/>
        <w:jc w:val="both"/>
        <w:rPr>
          <w:rFonts w:ascii="Times New Roman" w:hAnsi="Times New Roman"/>
          <w:b/>
          <w:smallCaps/>
          <w:color w:val="000000"/>
          <w:sz w:val="22"/>
        </w:rPr>
      </w:pPr>
      <w:r>
        <w:rPr>
          <w:rFonts w:ascii="Times New Roman" w:hAnsi="Times New Roman"/>
          <w:b/>
          <w:smallCaps/>
          <w:color w:val="000000"/>
          <w:sz w:val="22"/>
        </w:rPr>
        <w:t>Tempus AI, Inc.</w:t>
      </w:r>
    </w:p>
    <w:p>
      <w:pPr>
        <w:pStyle w:val="TextBody"/>
        <w:bidi w:val="0"/>
        <w:spacing w:before="0" w:after="24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480"/>
        <w:jc w:val="both"/>
        <w:rPr>
          <w:rFonts w:ascii="Times New Roman" w:hAnsi="Times New Roman"/>
          <w:b/>
          <w:smallCaps/>
          <w:color w:val="000000"/>
          <w:sz w:val="22"/>
        </w:rPr>
      </w:pPr>
      <w:r>
        <w:rPr>
          <w:rFonts w:ascii="Times New Roman" w:hAnsi="Times New Roman"/>
          <w:b/>
          <w:smallCaps/>
          <w:color w:val="000000"/>
          <w:sz w:val="22"/>
        </w:rPr>
        <w:t>[indemnitee name]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Address: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bookmarkStart w:id="38" w:name="tem-ex31_1.htm"/>
      <w:bookmarkStart w:id="39" w:name="kstemex31_1"/>
      <w:bookmarkEnd w:id="38"/>
      <w:bookmarkEnd w:id="3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Eric Lefkofsky,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[Paragraph intentionally omitted pursuant to Exchange Act Rule 13a-14(a)];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8, 2025</w:t>
      </w:r>
    </w:p>
    <w:p>
      <w:pPr>
        <w:pStyle w:val="TextBody"/>
        <w:bidi w:val="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Eric Lefkofsky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tem-ex31_2.htm"/>
      <w:bookmarkStart w:id="41" w:name="kstemex31_2"/>
      <w:bookmarkEnd w:id="40"/>
      <w:bookmarkEnd w:id="4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Rogers,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[Paragraph intentionally omitted pursuant to Exchange Act Rule 13a-14(a)];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8, 2025 </w:t>
      </w:r>
    </w:p>
    <w:p>
      <w:pPr>
        <w:pStyle w:val="TextBody"/>
        <w:bidi w:val="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tem-ex32_1.htm"/>
      <w:bookmarkStart w:id="43" w:name="kstemex32_1"/>
      <w:bookmarkEnd w:id="42"/>
      <w:bookmarkEnd w:id="4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June 30, 2025,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2476"/>
        <w:gridCol w:w="146"/>
        <w:gridCol w:w="146"/>
        <w:gridCol w:w="252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7115/000119312525155545/d14356dex41.htm" TargetMode="External"/><Relationship Id="rId3" Type="http://schemas.openxmlformats.org/officeDocument/2006/relationships/hyperlink" Target="https://www.sec.gov/Archives/edgar/data/1717115/000119312525155545/d14356dex41.htm" TargetMode="External"/><Relationship Id="rId4" Type="http://schemas.openxmlformats.org/officeDocument/2006/relationships/hyperlink" Target="https://www.sec.gov/Archives/edgar/data/1717115/000119312525155545/d14356dex101.htm" TargetMode="External"/><Relationship Id="rId5" Type="http://schemas.openxmlformats.org/officeDocument/2006/relationships/hyperlink" Target="https://www.sec.gov/Archives/edgar/data/1717115/000119312525155545/d14356dex101.htm" TargetMode="External"/><Relationship Id="rId6" Type="http://schemas.openxmlformats.org/officeDocument/2006/relationships/hyperlink" Target="https://www.sec.gov/Archives/edgar/data/1717115/000119312525155545/d14356dex102.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106413</Words>
  <Characters>559739</Characters>
  <CharactersWithSpaces>667304</CharactersWithSpaces>
  <Paragraphs>10182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