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30"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2024</w:t>
      </w:r>
    </w:p>
    <w:p>
      <w:pPr>
        <w:spacing w:after="0" w:line="123"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800" w:type="dxa"/>
            <w:vAlign w:val="bottom"/>
          </w:tcPr>
          <w:p>
            <w:pPr>
              <w:spacing w:after="0"/>
              <w:rPr>
                <w:sz w:val="17"/>
                <w:szCs w:val="17"/>
                <w:color w:val="auto"/>
              </w:rPr>
            </w:pPr>
          </w:p>
        </w:tc>
        <w:tc>
          <w:tcPr>
            <w:tcW w:w="3980" w:type="dxa"/>
            <w:vAlign w:val="bottom"/>
            <w:gridSpan w:val="7"/>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 to _________</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gridSpan w:val="4"/>
          </w:tcPr>
          <w:p>
            <w:pPr>
              <w:jc w:val="center"/>
              <w:ind w:right="1080"/>
              <w:spacing w:after="0"/>
              <w:rPr>
                <w:sz w:val="20"/>
                <w:szCs w:val="20"/>
                <w:color w:val="auto"/>
              </w:rPr>
            </w:pPr>
            <w:r>
              <w:rPr>
                <w:rFonts w:ascii="Times New Roman" w:cs="Times New Roman" w:eastAsia="Times New Roman" w:hAnsi="Times New Roman"/>
                <w:sz w:val="15"/>
                <w:szCs w:val="15"/>
                <w:b w:val="1"/>
                <w:bCs w:val="1"/>
                <w:color w:val="auto"/>
              </w:rPr>
              <w:t>Commission File No. 001-42130</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7"/>
        </w:trPr>
        <w:tc>
          <w:tcPr>
            <w:tcW w:w="3800" w:type="dxa"/>
            <w:vAlign w:val="bottom"/>
          </w:tcPr>
          <w:p>
            <w:pPr>
              <w:spacing w:after="0"/>
              <w:rPr>
                <w:sz w:val="24"/>
                <w:szCs w:val="24"/>
                <w:color w:val="auto"/>
              </w:rPr>
            </w:pPr>
          </w:p>
        </w:tc>
        <w:tc>
          <w:tcPr>
            <w:tcW w:w="3980" w:type="dxa"/>
            <w:vAlign w:val="bottom"/>
            <w:gridSpan w:val="7"/>
          </w:tcPr>
          <w:p>
            <w:pPr>
              <w:ind w:left="380"/>
              <w:spacing w:after="0"/>
              <w:rPr>
                <w:sz w:val="20"/>
                <w:szCs w:val="20"/>
                <w:color w:val="auto"/>
              </w:rPr>
            </w:pPr>
            <w:r>
              <w:rPr>
                <w:rFonts w:ascii="Times New Roman" w:cs="Times New Roman" w:eastAsia="Times New Roman" w:hAnsi="Times New Roman"/>
                <w:sz w:val="40"/>
                <w:szCs w:val="40"/>
                <w:b w:val="1"/>
                <w:bCs w:val="1"/>
                <w:color w:val="auto"/>
              </w:rPr>
              <w:t>Tempus AI, Inc.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0" w:type="dxa"/>
            <w:vAlign w:val="bottom"/>
          </w:tcPr>
          <w:p>
            <w:pPr>
              <w:spacing w:after="0"/>
              <w:rPr>
                <w:sz w:val="17"/>
                <w:szCs w:val="17"/>
                <w:color w:val="auto"/>
              </w:rPr>
            </w:pPr>
          </w:p>
        </w:tc>
        <w:tc>
          <w:tcPr>
            <w:tcW w:w="3980" w:type="dxa"/>
            <w:vAlign w:val="bottom"/>
            <w:gridSpan w:val="7"/>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3800" w:type="dxa"/>
            <w:vAlign w:val="bottom"/>
            <w:vMerge w:val="restart"/>
          </w:tcPr>
          <w:p>
            <w:pPr>
              <w:jc w:val="center"/>
              <w:ind w:left="54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60" w:type="dxa"/>
            <w:vAlign w:val="bottom"/>
            <w:vMerge w:val="restart"/>
          </w:tcPr>
          <w:p>
            <w:pPr>
              <w:jc w:val="center"/>
              <w:ind w:right="1087"/>
              <w:spacing w:after="0"/>
              <w:rPr>
                <w:sz w:val="20"/>
                <w:szCs w:val="20"/>
                <w:color w:val="auto"/>
              </w:rPr>
            </w:pPr>
            <w:r>
              <w:rPr>
                <w:rFonts w:ascii="Times New Roman" w:cs="Times New Roman" w:eastAsia="Times New Roman" w:hAnsi="Times New Roman"/>
                <w:sz w:val="15"/>
                <w:szCs w:val="15"/>
                <w:b w:val="1"/>
                <w:bCs w:val="1"/>
                <w:color w:val="auto"/>
              </w:rPr>
              <w:t>47-4903308</w:t>
            </w:r>
          </w:p>
        </w:tc>
        <w:tc>
          <w:tcPr>
            <w:tcW w:w="0" w:type="dxa"/>
            <w:vAlign w:val="bottom"/>
          </w:tcPr>
          <w:p>
            <w:pPr>
              <w:spacing w:after="0"/>
              <w:rPr>
                <w:sz w:val="1"/>
                <w:szCs w:val="1"/>
                <w:color w:val="auto"/>
              </w:rPr>
            </w:pPr>
          </w:p>
        </w:tc>
      </w:tr>
      <w:tr>
        <w:trPr>
          <w:trHeight w:val="320"/>
        </w:trPr>
        <w:tc>
          <w:tcPr>
            <w:tcW w:w="38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00" w:type="dxa"/>
            <w:vAlign w:val="bottom"/>
          </w:tcPr>
          <w:p>
            <w:pPr>
              <w:jc w:val="center"/>
              <w:ind w:left="52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60" w:type="dxa"/>
            <w:vAlign w:val="bottom"/>
          </w:tcPr>
          <w:p>
            <w:pPr>
              <w:jc w:val="center"/>
              <w:ind w:right="106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00" w:type="dxa"/>
            <w:vAlign w:val="bottom"/>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60" w:type="dxa"/>
            <w:vAlign w:val="bottom"/>
          </w:tcPr>
          <w:p>
            <w:pPr>
              <w:jc w:val="center"/>
              <w:ind w:right="106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64"/>
        </w:trPr>
        <w:tc>
          <w:tcPr>
            <w:tcW w:w="3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380" w:type="dxa"/>
            <w:vAlign w:val="bottom"/>
            <w:gridSpan w:val="6"/>
          </w:tcPr>
          <w:p>
            <w:pPr>
              <w:jc w:val="center"/>
              <w:ind w:right="980"/>
              <w:spacing w:after="0" w:line="164" w:lineRule="exact"/>
              <w:rPr>
                <w:sz w:val="20"/>
                <w:szCs w:val="20"/>
                <w:color w:val="auto"/>
              </w:rPr>
            </w:pPr>
            <w:r>
              <w:rPr>
                <w:rFonts w:ascii="Times New Roman" w:cs="Times New Roman" w:eastAsia="Times New Roman" w:hAnsi="Times New Roman"/>
                <w:sz w:val="15"/>
                <w:szCs w:val="15"/>
                <w:b w:val="1"/>
                <w:bCs w:val="1"/>
                <w:color w:val="auto"/>
              </w:rPr>
              <w:t>600 West Chicago Avenue, Suite 510</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gridSpan w:val="4"/>
          </w:tcPr>
          <w:p>
            <w:pPr>
              <w:jc w:val="center"/>
              <w:ind w:right="1100"/>
              <w:spacing w:after="0" w:line="159" w:lineRule="exact"/>
              <w:rPr>
                <w:sz w:val="20"/>
                <w:szCs w:val="20"/>
                <w:color w:val="auto"/>
              </w:rPr>
            </w:pPr>
            <w:r>
              <w:rPr>
                <w:rFonts w:ascii="Times New Roman" w:cs="Times New Roman" w:eastAsia="Times New Roman" w:hAnsi="Times New Roman"/>
                <w:sz w:val="15"/>
                <w:szCs w:val="15"/>
                <w:b w:val="1"/>
                <w:bCs w:val="1"/>
                <w:color w:val="auto"/>
              </w:rPr>
              <w:t>Chicago, IL 60654</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9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3"/>
                <w:szCs w:val="13"/>
                <w:color w:val="auto"/>
              </w:rPr>
            </w:pPr>
          </w:p>
        </w:tc>
        <w:tc>
          <w:tcPr>
            <w:tcW w:w="2940" w:type="dxa"/>
            <w:vAlign w:val="bottom"/>
            <w:gridSpan w:val="4"/>
          </w:tcPr>
          <w:p>
            <w:pPr>
              <w:jc w:val="center"/>
              <w:ind w:left="564"/>
              <w:spacing w:after="0" w:line="161" w:lineRule="exact"/>
              <w:rPr>
                <w:sz w:val="20"/>
                <w:szCs w:val="20"/>
                <w:color w:val="auto"/>
              </w:rPr>
            </w:pPr>
            <w:r>
              <w:rPr>
                <w:rFonts w:ascii="Times New Roman" w:cs="Times New Roman" w:eastAsia="Times New Roman" w:hAnsi="Times New Roman"/>
                <w:sz w:val="15"/>
                <w:szCs w:val="15"/>
                <w:b w:val="1"/>
                <w:bCs w:val="1"/>
                <w:color w:val="auto"/>
              </w:rPr>
              <w:t>(800) 976-5448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9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gridSpan w:val="4"/>
          </w:tcPr>
          <w:p>
            <w:pPr>
              <w:jc w:val="center"/>
              <w:ind w:right="1080"/>
              <w:spacing w:after="0" w:line="161" w:lineRule="exact"/>
              <w:rPr>
                <w:sz w:val="20"/>
                <w:szCs w:val="20"/>
                <w:color w:val="auto"/>
              </w:rPr>
            </w:pPr>
            <w:r>
              <w:rPr>
                <w:rFonts w:ascii="Times New Roman" w:cs="Times New Roman" w:eastAsia="Times New Roman" w:hAnsi="Times New Roman"/>
                <w:sz w:val="15"/>
                <w:szCs w:val="15"/>
                <w:b w:val="1"/>
                <w:bCs w:val="1"/>
                <w:color w:val="auto"/>
              </w:rPr>
              <w:t>N/A</w:t>
            </w: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05"/>
        </w:trPr>
        <w:tc>
          <w:tcPr>
            <w:tcW w:w="44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780" w:type="dxa"/>
            <w:vAlign w:val="bottom"/>
            <w:gridSpan w:val="8"/>
          </w:tcPr>
          <w:p>
            <w:pPr>
              <w:jc w:val="center"/>
              <w:ind w:left="3366"/>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00" w:type="dxa"/>
            <w:vAlign w:val="bottom"/>
            <w:vMerge w:val="restart"/>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60" w:type="dxa"/>
            <w:vAlign w:val="bottom"/>
          </w:tcPr>
          <w:p>
            <w:pPr>
              <w:jc w:val="center"/>
              <w:ind w:right="827"/>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60" w:type="dxa"/>
            <w:vAlign w:val="bottom"/>
          </w:tcPr>
          <w:p>
            <w:pPr>
              <w:jc w:val="center"/>
              <w:ind w:right="867"/>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2"/>
        </w:trPr>
        <w:tc>
          <w:tcPr>
            <w:tcW w:w="3800" w:type="dxa"/>
            <w:vAlign w:val="bottom"/>
            <w:tcBorders>
              <w:top w:val="single" w:sz="8" w:color="auto"/>
            </w:tcBorders>
          </w:tcPr>
          <w:p>
            <w:pPr>
              <w:jc w:val="center"/>
              <w:ind w:left="526"/>
              <w:spacing w:after="0"/>
              <w:rPr>
                <w:sz w:val="20"/>
                <w:szCs w:val="20"/>
                <w:color w:val="auto"/>
              </w:rPr>
            </w:pPr>
            <w:r>
              <w:rPr>
                <w:rFonts w:ascii="Times New Roman" w:cs="Times New Roman" w:eastAsia="Times New Roman" w:hAnsi="Times New Roman"/>
                <w:sz w:val="15"/>
                <w:szCs w:val="15"/>
                <w:color w:val="auto"/>
              </w:rPr>
              <w:t>Class A common stock, $0.0001 par value per share</w:t>
            </w: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TEM</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jc w:val="center"/>
              <w:ind w:right="847"/>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ind w:right="440"/>
        <w:spacing w:after="0" w:line="199" w:lineRule="exact"/>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62" w:lineRule="exact"/>
        <w:rPr>
          <w:sz w:val="24"/>
          <w:szCs w:val="24"/>
          <w:color w:val="auto"/>
        </w:rPr>
      </w:pPr>
    </w:p>
    <w:p>
      <w:pPr>
        <w:ind w:right="180"/>
        <w:spacing w:after="0" w:line="199" w:lineRule="exact"/>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86" w:lineRule="exact"/>
        <w:rPr>
          <w:sz w:val="24"/>
          <w:szCs w:val="24"/>
          <w:color w:val="auto"/>
        </w:rPr>
      </w:pPr>
    </w:p>
    <w:p>
      <w:pPr>
        <w:ind w:left="20"/>
        <w:spacing w:after="0" w:line="173" w:lineRule="exact"/>
        <w:tabs>
          <w:tab w:leader="none" w:pos="2040" w:val="left"/>
          <w:tab w:leader="none" w:pos="822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p>
    <w:p>
      <w:pPr>
        <w:spacing w:after="0" w:line="111" w:lineRule="exact"/>
        <w:rPr>
          <w:sz w:val="24"/>
          <w:szCs w:val="24"/>
          <w:color w:val="auto"/>
        </w:rPr>
      </w:pPr>
    </w:p>
    <w:p>
      <w:pPr>
        <w:ind w:left="20"/>
        <w:spacing w:after="0" w:line="173" w:lineRule="exact"/>
        <w:tabs>
          <w:tab w:leader="none" w:pos="2040" w:val="left"/>
          <w:tab w:leader="none" w:pos="822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p>
    <w:p>
      <w:pPr>
        <w:spacing w:after="0" w:line="160"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125" w:lineRule="exact"/>
        <w:rPr>
          <w:sz w:val="24"/>
          <w:szCs w:val="24"/>
          <w:color w:val="auto"/>
        </w:rPr>
      </w:pPr>
    </w:p>
    <w:p>
      <w:pPr>
        <w:ind w:right="100"/>
        <w:spacing w:after="0" w:line="199" w:lineRule="exact"/>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5"/>
          <w:szCs w:val="15"/>
          <w:color w:val="auto"/>
        </w:rPr>
        <w:t>☐</w:t>
      </w:r>
    </w:p>
    <w:p>
      <w:pPr>
        <w:spacing w:after="0" w:line="4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 Yes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r>
        <w:rPr>
          <w:rFonts w:ascii="MS PGothic" w:cs="MS PGothic" w:eastAsia="MS PGothic" w:hAnsi="MS PGothic"/>
          <w:sz w:val="15"/>
          <w:szCs w:val="15"/>
          <w:color w:val="auto"/>
        </w:rPr>
        <w:t>☒</w:t>
      </w:r>
    </w:p>
    <w:p>
      <w:pPr>
        <w:spacing w:after="0" w:line="1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As of November 4, 2024, there were 152,401,894 shares of Class A common stock and 5,043,789 shares of Class B common stock, each with a par value of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40" w:space="180"/>
            <w:col w:w="32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20" w:type="dxa"/>
            <w:vAlign w:val="bottom"/>
          </w:tcPr>
          <w:p>
            <w:pPr>
              <w:spacing w:after="0"/>
              <w:rPr>
                <w:sz w:val="21"/>
                <w:szCs w:val="21"/>
                <w:color w:val="auto"/>
              </w:rPr>
            </w:pPr>
          </w:p>
        </w:tc>
      </w:tr>
      <w:tr>
        <w:trPr>
          <w:trHeight w:val="351"/>
        </w:trPr>
        <w:tc>
          <w:tcPr>
            <w:tcW w:w="20" w:type="dxa"/>
            <w:vAlign w:val="bottom"/>
          </w:tcPr>
          <w:p>
            <w:pPr>
              <w:spacing w:after="0"/>
              <w:rPr>
                <w:sz w:val="24"/>
                <w:szCs w:val="24"/>
                <w:color w:val="auto"/>
              </w:rPr>
            </w:pPr>
          </w:p>
        </w:tc>
        <w:tc>
          <w:tcPr>
            <w:tcW w:w="51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 Condensed Consolidated Financial Statements (unaudited)</w:t>
            </w:r>
          </w:p>
        </w:tc>
        <w:tc>
          <w:tcPr>
            <w:tcW w:w="5400" w:type="dxa"/>
            <w:vAlign w:val="bottom"/>
            <w:gridSpan w:val="9"/>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372"/>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5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Quarterly Financial Statements (Unaudited)</w:t>
            </w:r>
          </w:p>
        </w:tc>
        <w:tc>
          <w:tcPr>
            <w:tcW w:w="4620" w:type="dxa"/>
            <w:vAlign w:val="bottom"/>
            <w:gridSpan w:val="4"/>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0" w:type="dxa"/>
            <w:vAlign w:val="bottom"/>
            <w:tcBorders>
              <w:bottom w:val="single" w:sz="8" w:color="0000EE"/>
            </w:tcBorders>
          </w:tcPr>
          <w:p>
            <w:pPr>
              <w:spacing w:after="0"/>
              <w:rPr>
                <w:sz w:val="24"/>
                <w:szCs w:val="24"/>
                <w:color w:val="auto"/>
              </w:rPr>
            </w:pPr>
          </w:p>
        </w:tc>
        <w:tc>
          <w:tcPr>
            <w:tcW w:w="6240" w:type="dxa"/>
            <w:vAlign w:val="bottom"/>
            <w:gridSpan w:val="12"/>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3660" w:type="dxa"/>
            <w:vAlign w:val="bottom"/>
            <w:gridSpan w:val="3"/>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37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0" w:type="dxa"/>
            <w:vAlign w:val="bottom"/>
            <w:tcBorders>
              <w:bottom w:val="single" w:sz="8" w:color="0000EE"/>
            </w:tcBorders>
          </w:tcPr>
          <w:p>
            <w:pPr>
              <w:spacing w:after="0"/>
              <w:rPr>
                <w:sz w:val="24"/>
                <w:szCs w:val="24"/>
                <w:color w:val="auto"/>
              </w:rPr>
            </w:pPr>
          </w:p>
        </w:tc>
        <w:tc>
          <w:tcPr>
            <w:tcW w:w="5460" w:type="dxa"/>
            <w:vAlign w:val="bottom"/>
            <w:gridSpan w:val="10"/>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Common Stock and Stockholders’ Equity</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(Deficit)</w:t>
            </w:r>
          </w:p>
        </w:tc>
        <w:tc>
          <w:tcPr>
            <w:tcW w:w="8560" w:type="dxa"/>
            <w:vAlign w:val="bottom"/>
            <w:gridSpan w:val="19"/>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 w:type="dxa"/>
            <w:vAlign w:val="bottom"/>
            <w:tcBorders>
              <w:bottom w:val="single" w:sz="8" w:color="0000EE"/>
            </w:tcBorders>
          </w:tcPr>
          <w:p>
            <w:pPr>
              <w:spacing w:after="0"/>
              <w:rPr>
                <w:sz w:val="24"/>
                <w:szCs w:val="24"/>
                <w:color w:val="auto"/>
              </w:rPr>
            </w:pPr>
          </w:p>
        </w:tc>
        <w:tc>
          <w:tcPr>
            <w:tcW w:w="5180" w:type="dxa"/>
            <w:vAlign w:val="bottom"/>
            <w:gridSpan w:val="5"/>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372"/>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372"/>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0" w:type="dxa"/>
            <w:vAlign w:val="bottom"/>
            <w:gridSpan w:val="2"/>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37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340" w:type="dxa"/>
            <w:vAlign w:val="bottom"/>
            <w:gridSpan w:val="8"/>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8380" w:type="dxa"/>
            <w:vAlign w:val="bottom"/>
            <w:gridSpan w:val="18"/>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372"/>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37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4"/>
          </w:tcPr>
          <w:p>
            <w:pPr>
              <w:spacing w:after="0"/>
              <w:rPr>
                <w:sz w:val="24"/>
                <w:szCs w:val="24"/>
                <w:color w:val="auto"/>
              </w:rPr>
            </w:pPr>
          </w:p>
        </w:tc>
        <w:tc>
          <w:tcPr>
            <w:tcW w:w="8320" w:type="dxa"/>
            <w:vAlign w:val="bottom"/>
            <w:gridSpan w:val="16"/>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372"/>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37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7"/>
          </w:tcPr>
          <w:p>
            <w:pPr>
              <w:spacing w:after="0"/>
              <w:rPr>
                <w:sz w:val="24"/>
                <w:szCs w:val="24"/>
                <w:color w:val="auto"/>
              </w:rPr>
            </w:pPr>
          </w:p>
        </w:tc>
        <w:tc>
          <w:tcPr>
            <w:tcW w:w="5300" w:type="dxa"/>
            <w:vAlign w:val="bottom"/>
            <w:gridSpan w:val="7"/>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372"/>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37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80" w:type="dxa"/>
            <w:vAlign w:val="bottom"/>
            <w:gridSpan w:val="15"/>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372"/>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Exhibits</w:t>
            </w:r>
          </w:p>
        </w:tc>
        <w:tc>
          <w:tcPr>
            <w:tcW w:w="8340" w:type="dxa"/>
            <w:vAlign w:val="bottom"/>
            <w:gridSpan w:val="17"/>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37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r>
        <w:trPr>
          <w:trHeight w:val="1445"/>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Quarterly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388,006</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165,767</w:t>
            </w:r>
          </w:p>
        </w:tc>
        <w:tc>
          <w:tcPr>
            <w:tcW w:w="100" w:type="dxa"/>
            <w:vAlign w:val="bottom"/>
            <w:shd w:val="clear" w:color="auto" w:fill="CFF0FC"/>
          </w:tcPr>
          <w:p>
            <w:pPr>
              <w:spacing w:after="0"/>
              <w:rPr>
                <w:sz w:val="21"/>
                <w:szCs w:val="21"/>
                <w:color w:val="auto"/>
              </w:rPr>
            </w:pPr>
          </w:p>
        </w:tc>
      </w:tr>
      <w:tr>
        <w:trPr>
          <w:trHeight w:val="211"/>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$1,154 and $1,115 at September 30, 2024 and December 31,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94,462</w:t>
            </w:r>
          </w:p>
        </w:tc>
        <w:tc>
          <w:tcPr>
            <w:tcW w:w="100" w:type="dxa"/>
            <w:vAlign w:val="bottom"/>
          </w:tcPr>
          <w:p>
            <w:pPr>
              <w:spacing w:after="0"/>
              <w:rPr>
                <w:sz w:val="20"/>
                <w:szCs w:val="20"/>
                <w:color w:val="auto"/>
              </w:rPr>
            </w:pPr>
          </w:p>
        </w:tc>
      </w:tr>
      <w:tr>
        <w:trPr>
          <w:trHeight w:val="250"/>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asset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100" w:type="dxa"/>
            <w:vAlign w:val="bottom"/>
          </w:tcPr>
          <w:p>
            <w:pPr>
              <w:spacing w:after="0"/>
              <w:rPr>
                <w:sz w:val="20"/>
                <w:szCs w:val="20"/>
                <w:color w:val="auto"/>
              </w:rPr>
            </w:pPr>
          </w:p>
        </w:tc>
      </w:tr>
      <w:tr>
        <w:trPr>
          <w:trHeight w:val="247"/>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679,412</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350,331</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73,354</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100" w:type="dxa"/>
            <w:vAlign w:val="bottom"/>
          </w:tcPr>
          <w:p>
            <w:pPr>
              <w:spacing w:after="0"/>
              <w:rPr>
                <w:sz w:val="20"/>
                <w:szCs w:val="20"/>
                <w:color w:val="auto"/>
              </w:rPr>
            </w:pPr>
          </w:p>
        </w:tc>
      </w:tr>
      <w:tr>
        <w:trPr>
          <w:trHeight w:val="247"/>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971,728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equity (deficit)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other income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FF0FC"/>
          </w:tcPr>
          <w:p>
            <w:pPr>
              <w:spacing w:after="0"/>
              <w:rPr>
                <w:sz w:val="21"/>
                <w:szCs w:val="21"/>
                <w:color w:val="auto"/>
              </w:rPr>
            </w:pPr>
          </w:p>
        </w:tc>
      </w:tr>
      <w:tr>
        <w:trPr>
          <w:trHeight w:val="243"/>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dividends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100" w:type="dxa"/>
            <w:vAlign w:val="bottom"/>
          </w:tcPr>
          <w:p>
            <w:pPr>
              <w:spacing w:after="0"/>
              <w:rPr>
                <w:sz w:val="21"/>
                <w:szCs w:val="21"/>
                <w:color w:val="auto"/>
              </w:rPr>
            </w:pPr>
          </w:p>
        </w:tc>
      </w:tr>
      <w:tr>
        <w:trPr>
          <w:trHeight w:val="237"/>
        </w:trPr>
        <w:tc>
          <w:tcPr>
            <w:tcW w:w="81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252,620</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232,627</w:t>
            </w:r>
          </w:p>
        </w:tc>
        <w:tc>
          <w:tcPr>
            <w:tcW w:w="100" w:type="dxa"/>
            <w:vAlign w:val="bottom"/>
            <w:shd w:val="clear" w:color="auto" w:fill="CFF0FC"/>
          </w:tcPr>
          <w:p>
            <w:pPr>
              <w:spacing w:after="0"/>
              <w:rPr>
                <w:sz w:val="20"/>
                <w:szCs w:val="20"/>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174,460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193,124</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55,321</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264,527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256,541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other income, less current portion</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918,000</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840,672</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redeemable preferred stock, $0.0001 par value, no and 69,803,765 shares authorized at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30, 2024 and December 31, 2023, respectively; no and 63,525,953 shares issued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 aggregate liquidation preference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$0 and $1,130,429 at September 30, 2024 and December 31, 2023,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1,105,543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-5888355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-5888355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-4337050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-1053465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Voting Common Stock, $0.0001 par value, 1,000,000,000 and 200,228,024 shares authorized at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30, 2024 and December 31, 2023, respectively; 150,280,363 and 58,367,961 shares issued and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B Voting Common Stock, $0.0001 par value, 5,500,000 and 5,374,899 shares authorized at</w:t>
            </w: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September 30, 2024 and December 31, 2023, respectively; 5,043,789 and no shares issued and outstanding</w:t>
            </w: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at September 30, 2024 and December 31, 2023, respectively</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Non-voting Common Stock, $0.0001 par value, no and 66,946,627 shares authorized at September 30,</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and December 31, 2023, respectively; no shares issued and outstanding at September 30, 2024, and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5,205,802 shares issued and 5,060,336 shares outstanding at December 31, 2023</w:t>
            </w:r>
          </w:p>
        </w:tc>
        <w:tc>
          <w:tcPr>
            <w:tcW w:w="3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145,466 shares at September 30, 2024 and December 31, 2023, at cost</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(3,602 )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(3,602 )</w:t>
            </w:r>
          </w:p>
        </w:tc>
        <w:tc>
          <w:tcPr>
            <w:tcW w:w="0" w:type="dxa"/>
            <w:vAlign w:val="bottom"/>
          </w:tcPr>
          <w:p>
            <w:pPr>
              <w:spacing w:after="0"/>
              <w:rPr>
                <w:sz w:val="1"/>
                <w:szCs w:val="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2,184,926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(2,137,820 )</w:t>
            </w: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(1,396,917 )</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(1,382,163 )</w:t>
            </w:r>
          </w:p>
        </w:tc>
        <w:tc>
          <w:tcPr>
            <w:tcW w:w="0" w:type="dxa"/>
            <w:vAlign w:val="bottom"/>
          </w:tcPr>
          <w:p>
            <w:pPr>
              <w:spacing w:after="0"/>
              <w:rPr>
                <w:sz w:val="1"/>
                <w:szCs w:val="1"/>
                <w:color w:val="auto"/>
              </w:rPr>
            </w:pPr>
          </w:p>
        </w:tc>
      </w:tr>
      <w:tr>
        <w:trPr>
          <w:trHeight w:val="201"/>
        </w:trPr>
        <w:tc>
          <w:tcPr>
            <w:tcW w:w="8160" w:type="dxa"/>
            <w:vAlign w:val="bottom"/>
            <w:tcBorders>
              <w:top w:val="single" w:sz="8" w:color="CFF0FC"/>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w:t>
            </w:r>
          </w:p>
        </w:tc>
        <w:tc>
          <w:tcPr>
            <w:tcW w:w="34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971,728</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-299720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331,315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64,507</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161,403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180,929</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492,718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644,063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234,545</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180,846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1,133,100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(53,616 )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(44,789 )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(640,382 )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(143,788 )</w:t>
            </w: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(13,761 )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(12,342 )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(40,294 )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(33,245 )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(11,522 )</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(17,821 )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(74,110 )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(53,361 )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(690,959 )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(163,260 )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(1,692 )</w:t>
            </w:r>
          </w:p>
        </w:tc>
        <w:tc>
          <w:tcPr>
            <w:tcW w:w="2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(1,692 )</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(53,426 )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(692,795 )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c>
          <w:tcPr>
            <w:tcW w:w="0" w:type="dxa"/>
            <w:vAlign w:val="bottom"/>
          </w:tcPr>
          <w:p>
            <w:pPr>
              <w:spacing w:after="0"/>
              <w:rPr>
                <w:sz w:val="1"/>
                <w:szCs w:val="1"/>
                <w:color w:val="auto"/>
              </w:rPr>
            </w:pPr>
          </w:p>
        </w:tc>
      </w:tr>
      <w:tr>
        <w:trPr>
          <w:trHeight w:val="192"/>
        </w:trPr>
        <w:tc>
          <w:tcPr>
            <w:tcW w:w="5780" w:type="dxa"/>
            <w:vAlign w:val="bottom"/>
            <w:tcBorders>
              <w:top w:val="single" w:sz="8" w:color="CFF0FC"/>
            </w:tcBorders>
          </w:tcPr>
          <w:p>
            <w:pPr>
              <w:ind w:left="380"/>
              <w:spacing w:after="0" w:line="192" w:lineRule="exact"/>
              <w:rPr>
                <w:sz w:val="20"/>
                <w:szCs w:val="20"/>
                <w:color w:val="auto"/>
              </w:rPr>
            </w:pPr>
            <w:r>
              <w:rPr>
                <w:rFonts w:ascii="Times New Roman" w:cs="Times New Roman" w:eastAsia="Times New Roman" w:hAnsi="Times New Roman"/>
                <w:sz w:val="18"/>
                <w:szCs w:val="18"/>
                <w:color w:val="auto"/>
              </w:rPr>
              <w:t>Dividends on Series A, B, B-1, B-2, C, D, E, F, G, G-3, and</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G-4 preferred shares</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(11,143 )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(39,347 )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(32,709 )</w:t>
            </w:r>
          </w:p>
        </w:tc>
        <w:tc>
          <w:tcPr>
            <w:tcW w:w="0" w:type="dxa"/>
            <w:vAlign w:val="bottom"/>
          </w:tcPr>
          <w:p>
            <w:pPr>
              <w:spacing w:after="0"/>
              <w:rPr>
                <w:sz w:val="1"/>
                <w:szCs w:val="1"/>
                <w:color w:val="auto"/>
              </w:rPr>
            </w:pPr>
          </w:p>
        </w:tc>
      </w:tr>
      <w:tr>
        <w:trPr>
          <w:trHeight w:val="218"/>
        </w:trPr>
        <w:tc>
          <w:tcPr>
            <w:tcW w:w="5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14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(764 )</w:t>
            </w:r>
          </w:p>
        </w:tc>
        <w:tc>
          <w:tcPr>
            <w:tcW w:w="14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(1,174 )</w:t>
            </w:r>
          </w:p>
        </w:tc>
        <w:tc>
          <w:tcPr>
            <w:tcW w:w="26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(2,230 )</w:t>
            </w:r>
          </w:p>
        </w:tc>
        <w:tc>
          <w:tcPr>
            <w:tcW w:w="0" w:type="dxa"/>
            <w:vAlign w:val="bottom"/>
          </w:tcPr>
          <w:p>
            <w:pPr>
              <w:spacing w:after="0"/>
              <w:rPr>
                <w:sz w:val="1"/>
                <w:szCs w:val="1"/>
                <w:color w:val="auto"/>
              </w:rPr>
            </w:pPr>
          </w:p>
        </w:tc>
      </w:tr>
      <w:tr>
        <w:trPr>
          <w:trHeight w:val="234"/>
        </w:trPr>
        <w:tc>
          <w:tcPr>
            <w:tcW w:w="5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(65,333 )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(733,316 )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(198,574 )</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11"/>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w:t>
            </w:r>
          </w:p>
        </w:tc>
        <w:tc>
          <w:tcPr>
            <w:tcW w:w="1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165,612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104,164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(53,426 )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(692,795 )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(65,538 )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(53,480 )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(682,592 )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(163,664 )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-4491355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-4491355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-4491355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-3248025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-3248025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-3248025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-2613660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-2613660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-2613660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-1979295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-1962150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-1979295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-1962150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-1979295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-1962150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-1379220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-1379220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-1379220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8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(692,795 )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(8,000 )</w:t>
            </w: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509,351</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warrant exercise</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(173 )</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marketable equity securities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(5,119 )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(18,302 )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(51,699 )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(25,365 )</w:t>
            </w:r>
          </w:p>
        </w:tc>
      </w:tr>
      <w:tr>
        <w:trPr>
          <w:trHeight w:val="247"/>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(7,293 )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(4,875 )</w:t>
            </w:r>
          </w:p>
        </w:tc>
      </w:tr>
      <w:tr>
        <w:trPr>
          <w:trHeight w:val="239"/>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(14,040 )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(3,665 )</w:t>
            </w:r>
          </w:p>
        </w:tc>
      </w:tr>
      <w:tr>
        <w:trPr>
          <w:trHeight w:val="247"/>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(4,378 )</w:t>
            </w:r>
          </w:p>
        </w:tc>
      </w:tr>
      <w:tr>
        <w:trPr>
          <w:trHeight w:val="239"/>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(24,776 )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(12,253 )</w:t>
            </w:r>
          </w:p>
        </w:tc>
      </w:tr>
      <w:tr>
        <w:trPr>
          <w:trHeight w:val="247"/>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(1,052 )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(16,644 )</w:t>
            </w:r>
          </w:p>
        </w:tc>
      </w:tr>
      <w:tr>
        <w:trPr>
          <w:trHeight w:val="239"/>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other income</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(4,250 )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(8,374 )</w:t>
            </w:r>
          </w:p>
        </w:tc>
      </w:tr>
      <w:tr>
        <w:trPr>
          <w:trHeight w:val="239"/>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00" w:type="dxa"/>
            <w:vAlign w:val="bottom"/>
          </w:tcPr>
          <w:p>
            <w:pPr>
              <w:spacing w:after="0"/>
              <w:rPr>
                <w:sz w:val="20"/>
                <w:szCs w:val="20"/>
                <w:color w:val="auto"/>
              </w:rPr>
            </w:pPr>
          </w:p>
        </w:tc>
      </w:tr>
      <w:tr>
        <w:trPr>
          <w:trHeight w:val="247"/>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shd w:val="clear" w:color="auto" w:fill="CFF0FC"/>
          </w:tcPr>
          <w:p>
            <w:pPr>
              <w:spacing w:after="0"/>
              <w:rPr>
                <w:sz w:val="21"/>
                <w:szCs w:val="21"/>
                <w:color w:val="auto"/>
              </w:rPr>
            </w:pPr>
          </w:p>
        </w:tc>
      </w:tr>
      <w:tr>
        <w:trPr>
          <w:trHeight w:val="243"/>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(6,655 )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(6,559 )</w:t>
            </w:r>
          </w:p>
        </w:tc>
      </w:tr>
      <w:tr>
        <w:trPr>
          <w:trHeight w:val="20"/>
        </w:trPr>
        <w:tc>
          <w:tcPr>
            <w:tcW w:w="8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(149,794 )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(174,072 )</w:t>
            </w:r>
          </w:p>
        </w:tc>
      </w:tr>
      <w:tr>
        <w:trPr>
          <w:trHeight w:val="473"/>
        </w:trPr>
        <w:tc>
          <w:tcPr>
            <w:tcW w:w="8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(14,159 )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(31,899 )</w:t>
            </w: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combinations, net of cash acquired (Note 4)</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(2,869 )</w:t>
            </w: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(95,186 )</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equity securities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(36,183 )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(122,430 )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(34,768 )</w:t>
            </w:r>
          </w:p>
        </w:tc>
      </w:tr>
      <w:tr>
        <w:trPr>
          <w:trHeight w:val="20"/>
        </w:trPr>
        <w:tc>
          <w:tcPr>
            <w:tcW w:w="8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-1259205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initial public offering, net of underwriting</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discounts and commissions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381,951</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withholding related to net share settlement of restricted stock units</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(69,918 )</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Series G-5 Preferred Stock</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199,750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(3,602 )</w:t>
            </w:r>
          </w:p>
        </w:tc>
        <w:tc>
          <w:tcPr>
            <w:tcW w:w="0" w:type="dxa"/>
            <w:vAlign w:val="bottom"/>
          </w:tcPr>
          <w:p>
            <w:pPr>
              <w:spacing w:after="0"/>
              <w:rPr>
                <w:sz w:val="1"/>
                <w:szCs w:val="1"/>
                <w:color w:val="auto"/>
              </w:rPr>
            </w:pP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(8,587 )</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(574 )</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(5,625 )</w:t>
            </w:r>
          </w:p>
        </w:tc>
        <w:tc>
          <w:tcPr>
            <w:tcW w:w="4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(5,625 )</w:t>
            </w:r>
          </w:p>
        </w:tc>
        <w:tc>
          <w:tcPr>
            <w:tcW w:w="0" w:type="dxa"/>
            <w:vAlign w:val="bottom"/>
          </w:tcPr>
          <w:p>
            <w:pPr>
              <w:spacing w:after="0"/>
              <w:rPr>
                <w:sz w:val="1"/>
                <w:szCs w:val="1"/>
                <w:color w:val="auto"/>
              </w:rPr>
            </w:pP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indemnity holdback related to acquisition</w:t>
            </w:r>
          </w:p>
        </w:tc>
        <w:tc>
          <w:tcPr>
            <w:tcW w:w="3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(813 )</w:t>
            </w:r>
          </w:p>
        </w:tc>
        <w:tc>
          <w:tcPr>
            <w:tcW w:w="4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G-4 Special Payment</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(2,250 )</w:t>
            </w: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494,508</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8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222,271</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(170,203 )</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166,607</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388,878</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388,006</w:t>
            </w:r>
          </w:p>
        </w:tc>
        <w:tc>
          <w:tcPr>
            <w:tcW w:w="2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388,878</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2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Non-voting common stock issued in connection with business combinations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40" w:type="dxa"/>
            <w:vAlign w:val="bottom"/>
            <w:shd w:val="clear" w:color="auto" w:fill="CFF0FC"/>
          </w:tcPr>
          <w:p>
            <w:pPr>
              <w:ind w:left="200"/>
              <w:spacing w:after="0" w:line="192" w:lineRule="exact"/>
              <w:rPr>
                <w:sz w:val="20"/>
                <w:szCs w:val="20"/>
                <w:color w:val="auto"/>
              </w:rPr>
            </w:pPr>
            <w:r>
              <w:rPr>
                <w:rFonts w:ascii="Times New Roman" w:cs="Times New Roman" w:eastAsia="Times New Roman" w:hAnsi="Times New Roman"/>
                <w:sz w:val="18"/>
                <w:szCs w:val="18"/>
                <w:color w:val="auto"/>
              </w:rPr>
              <w:t>Conversion of redeemable convertible preferred stock to common stock in connection with initial public</w:t>
            </w:r>
          </w:p>
        </w:tc>
        <w:tc>
          <w:tcPr>
            <w:tcW w:w="38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1,348,809</w:t>
            </w:r>
          </w:p>
        </w:tc>
        <w:tc>
          <w:tcPr>
            <w:tcW w:w="220" w:type="dxa"/>
            <w:vAlign w:val="bottom"/>
            <w:shd w:val="clear" w:color="auto" w:fill="CFF0FC"/>
          </w:tcPr>
          <w:p>
            <w:pPr>
              <w:spacing w:after="0"/>
              <w:rPr>
                <w:sz w:val="16"/>
                <w:szCs w:val="16"/>
                <w:color w:val="auto"/>
              </w:rPr>
            </w:pPr>
          </w:p>
        </w:tc>
        <w:tc>
          <w:tcPr>
            <w:tcW w:w="400" w:type="dxa"/>
            <w:vAlign w:val="bottom"/>
            <w:vMerge w:val="restart"/>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offering</w:t>
            </w: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related to net share settlement of restricted stock units not yet paid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Reclassificiation of deferred offering costs to additional paid-in capital upon initial public offering</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22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Issuance of Series G-3 Preferred Stock</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2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Series G-4 Preferred Stock</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-4859655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-4533900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-4062730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-3256915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-2425065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-2407920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-1936750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-1919605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-1576705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-1559560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-1216660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-1199515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-745490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-728345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-385445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-368300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COMMON STOCK AND STOCKHOLDERS’ EQUITY (DEFICIT) (Unaudited)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tcPr>
          <w:p>
            <w:pPr>
              <w:spacing w:after="0"/>
              <w:rPr>
                <w:sz w:val="11"/>
                <w:szCs w:val="11"/>
                <w:color w:val="auto"/>
              </w:rPr>
            </w:pPr>
          </w:p>
        </w:tc>
        <w:tc>
          <w:tcPr>
            <w:tcW w:w="162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20" w:type="dxa"/>
            <w:vAlign w:val="bottom"/>
          </w:tcPr>
          <w:p>
            <w:pPr>
              <w:spacing w:after="0"/>
              <w:rPr>
                <w:sz w:val="11"/>
                <w:szCs w:val="11"/>
                <w:color w:val="auto"/>
              </w:rPr>
            </w:pPr>
          </w:p>
        </w:tc>
        <w:tc>
          <w:tcPr>
            <w:tcW w:w="2080" w:type="dxa"/>
            <w:vAlign w:val="bottom"/>
            <w:gridSpan w:val="7"/>
            <w:vMerge w:val="restart"/>
          </w:tcPr>
          <w:p>
            <w:pPr>
              <w:ind w:left="700"/>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62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20" w:type="dxa"/>
            <w:vAlign w:val="bottom"/>
          </w:tcPr>
          <w:p>
            <w:pPr>
              <w:spacing w:after="0"/>
              <w:rPr>
                <w:sz w:val="11"/>
                <w:szCs w:val="11"/>
                <w:color w:val="auto"/>
              </w:rPr>
            </w:pPr>
          </w:p>
        </w:tc>
        <w:tc>
          <w:tcPr>
            <w:tcW w:w="2080" w:type="dxa"/>
            <w:vAlign w:val="bottom"/>
            <w:tcBorders>
              <w:bottom w:val="single" w:sz="8" w:color="auto"/>
            </w:tcBorders>
            <w:gridSpan w:val="7"/>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w w:val="94"/>
              </w:rPr>
              <w:t>Non-Voting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880" w:type="dxa"/>
            <w:vAlign w:val="bottom"/>
            <w:tcBorders>
              <w:bottom w:val="single" w:sz="8" w:color="auto"/>
            </w:tcBorders>
            <w:gridSpan w:val="3"/>
          </w:tcPr>
          <w:p>
            <w:pPr>
              <w:jc w:val="center"/>
              <w:ind w:left="4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50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Amoun</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Amou</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2"/>
                <w:szCs w:val="12"/>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2"/>
                <w:szCs w:val="12"/>
                <w:color w:val="auto"/>
              </w:rPr>
            </w:pPr>
          </w:p>
        </w:tc>
        <w:tc>
          <w:tcPr>
            <w:tcW w:w="2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2"/>
                <w:szCs w:val="12"/>
                <w:color w:val="auto"/>
              </w:rPr>
            </w:pP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2"/>
                <w:szCs w:val="12"/>
                <w:color w:val="auto"/>
              </w:rPr>
            </w:pP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2"/>
                <w:szCs w:val="12"/>
                <w:color w:val="auto"/>
              </w:rPr>
            </w:pPr>
          </w:p>
        </w:tc>
        <w:tc>
          <w:tcPr>
            <w:tcW w:w="7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17"/>
        </w:trPr>
        <w:tc>
          <w:tcPr>
            <w:tcW w:w="126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63,525,953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1,105,543</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58,367,961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5,205,802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(145,466 )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18,345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(1,396,917 )</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(1,382,163 )</w:t>
            </w: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Series G-3</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Preferred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66,465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3,809</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Series G-4</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Preferred Stock</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10,666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611</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Series G-5</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Preferred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3,489,981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199,750</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Common stock issued in</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connection with</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business combinations</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9,141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33,669</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(39,347 )</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(39,347 )</w:t>
            </w:r>
          </w:p>
        </w:tc>
        <w:tc>
          <w:tcPr>
            <w:tcW w:w="0" w:type="dxa"/>
            <w:vAlign w:val="bottom"/>
          </w:tcPr>
          <w:p>
            <w:pPr>
              <w:spacing w:after="0"/>
              <w:rPr>
                <w:sz w:val="1"/>
                <w:szCs w:val="1"/>
                <w:color w:val="auto"/>
              </w:rPr>
            </w:pPr>
          </w:p>
        </w:tc>
      </w:tr>
      <w:tr>
        <w:trPr>
          <w:trHeight w:val="125"/>
        </w:trPr>
        <w:tc>
          <w:tcPr>
            <w:tcW w:w="12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with initial public</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underwriting discounts</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and other offering costs</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11,100,000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369,603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369,604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redeemable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convertible preferred</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to common stock</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in connection with</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(67,093,06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(1,343,38</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initial public offering</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2 )</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71,976,178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5,043,789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1,357,562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(8,761 )</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1,348,809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Conversion of non-voting</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common stock to</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(5,214,94</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Class A common stock</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5,069,477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upon settlement</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of restricted stock</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units, net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3,657,288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(70,105 )</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(70,105 )</w:t>
            </w:r>
          </w:p>
        </w:tc>
        <w:tc>
          <w:tcPr>
            <w:tcW w:w="0" w:type="dxa"/>
            <w:vAlign w:val="bottom"/>
          </w:tcPr>
          <w:p>
            <w:pPr>
              <w:spacing w:after="0"/>
              <w:rPr>
                <w:sz w:val="1"/>
                <w:szCs w:val="1"/>
                <w:color w:val="auto"/>
              </w:rPr>
            </w:pPr>
          </w:p>
        </w:tc>
      </w:tr>
      <w:tr>
        <w:trPr>
          <w:trHeight w:val="126"/>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upon settlement</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of warrant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109,459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(173 )</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(173 )</w:t>
            </w: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compensation expense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509,351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509,351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adjustment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(692,795 )</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(692,795 )</w:t>
            </w:r>
          </w:p>
        </w:tc>
        <w:tc>
          <w:tcPr>
            <w:tcW w:w="0" w:type="dxa"/>
            <w:vAlign w:val="bottom"/>
          </w:tcPr>
          <w:p>
            <w:pPr>
              <w:spacing w:after="0"/>
              <w:rPr>
                <w:sz w:val="1"/>
                <w:szCs w:val="1"/>
                <w:color w:val="auto"/>
              </w:rPr>
            </w:pPr>
          </w:p>
        </w:tc>
      </w:tr>
      <w:tr>
        <w:trPr>
          <w:trHeight w:val="115"/>
        </w:trPr>
        <w:tc>
          <w:tcPr>
            <w:tcW w:w="12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w:t>
            </w: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260" w:type="dxa"/>
            <w:vAlign w:val="bottom"/>
            <w:vMerge w:val="continue"/>
            <w:shd w:val="clear" w:color="auto" w:fill="CFF0FC"/>
          </w:tcPr>
          <w:p>
            <w:pPr>
              <w:spacing w:after="0"/>
              <w:rPr>
                <w:sz w:val="3"/>
                <w:szCs w:val="3"/>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FF0FC"/>
          </w:tcPr>
          <w:p>
            <w:pPr>
              <w:spacing w:after="0"/>
              <w:rPr>
                <w:sz w:val="3"/>
                <w:szCs w:val="3"/>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right w:val="single" w:sz="8" w:color="auto"/>
            </w:tcBorders>
            <w:vMerge w:val="restart"/>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150,280,363</w:t>
            </w:r>
          </w:p>
        </w:tc>
        <w:tc>
          <w:tcPr>
            <w:tcW w:w="120" w:type="dxa"/>
            <w:vAlign w:val="bottom"/>
            <w:shd w:val="clear" w:color="auto" w:fill="CFF0FC"/>
          </w:tcPr>
          <w:p>
            <w:pPr>
              <w:spacing w:after="0"/>
              <w:rPr>
                <w:sz w:val="3"/>
                <w:szCs w:val="3"/>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vMerge w:val="restart"/>
            <w:shd w:val="clear" w:color="auto" w:fill="CFF0FC"/>
          </w:tcPr>
          <w:p>
            <w:pPr>
              <w:spacing w:after="0"/>
              <w:rPr>
                <w:sz w:val="3"/>
                <w:szCs w:val="3"/>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5,043,789</w:t>
            </w:r>
          </w:p>
        </w:tc>
        <w:tc>
          <w:tcPr>
            <w:tcW w:w="140" w:type="dxa"/>
            <w:vAlign w:val="bottom"/>
            <w:shd w:val="clear" w:color="auto" w:fill="CFF0FC"/>
          </w:tcPr>
          <w:p>
            <w:pPr>
              <w:spacing w:after="0"/>
              <w:rPr>
                <w:sz w:val="3"/>
                <w:szCs w:val="3"/>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3"/>
                <w:szCs w:val="3"/>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FF0FC"/>
          </w:tcPr>
          <w:p>
            <w:pPr>
              <w:spacing w:after="0"/>
              <w:rPr>
                <w:sz w:val="3"/>
                <w:szCs w:val="3"/>
                <w:color w:val="auto"/>
              </w:rPr>
            </w:pPr>
          </w:p>
        </w:tc>
        <w:tc>
          <w:tcPr>
            <w:tcW w:w="120" w:type="dxa"/>
            <w:vAlign w:val="bottom"/>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FF0FC"/>
          </w:tcPr>
          <w:p>
            <w:pPr>
              <w:spacing w:after="0"/>
              <w:rPr>
                <w:sz w:val="3"/>
                <w:szCs w:val="3"/>
                <w:color w:val="auto"/>
              </w:rPr>
            </w:pPr>
          </w:p>
        </w:tc>
        <w:tc>
          <w:tcPr>
            <w:tcW w:w="6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(145,466 )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2,184,926</w:t>
            </w:r>
          </w:p>
        </w:tc>
        <w:tc>
          <w:tcPr>
            <w:tcW w:w="120" w:type="dxa"/>
            <w:vAlign w:val="bottom"/>
            <w:shd w:val="clear" w:color="auto" w:fill="CFF0FC"/>
          </w:tcPr>
          <w:p>
            <w:pPr>
              <w:spacing w:after="0"/>
              <w:rPr>
                <w:sz w:val="3"/>
                <w:szCs w:val="3"/>
                <w:color w:val="auto"/>
              </w:rPr>
            </w:pPr>
          </w:p>
        </w:tc>
        <w:tc>
          <w:tcPr>
            <w:tcW w:w="140" w:type="dxa"/>
            <w:vAlign w:val="bottom"/>
            <w:vMerge w:val="restart"/>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(2,137,820 )</w:t>
            </w: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10,208</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53,728</w:t>
            </w: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1260" w:type="dxa"/>
            <w:vAlign w:val="bottom"/>
            <w:shd w:val="clear" w:color="auto" w:fill="CFF0FC"/>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2024</w:t>
            </w:r>
          </w:p>
        </w:tc>
        <w:tc>
          <w:tcPr>
            <w:tcW w:w="660" w:type="dxa"/>
            <w:vAlign w:val="bottom"/>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40" w:type="dxa"/>
            <w:vAlign w:val="bottom"/>
            <w:tcBorders>
              <w:right w:val="single" w:sz="8" w:color="auto"/>
            </w:tcBorders>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2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400" w:type="dxa"/>
            <w:vAlign w:val="bottom"/>
            <w:gridSpan w:val="2"/>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60" w:type="dxa"/>
            <w:vAlign w:val="bottom"/>
            <w:vMerge w:val="continue"/>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180" w:type="dxa"/>
            <w:vAlign w:val="bottom"/>
            <w:gridSpan w:val="2"/>
            <w:vMerge w:val="continue"/>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COMMON STOCK AND STOCKHOLDERS’ EQUITY (DEFICIT) (Unaudited)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tcPr>
          <w:p>
            <w:pPr>
              <w:spacing w:after="0"/>
              <w:rPr>
                <w:sz w:val="11"/>
                <w:szCs w:val="11"/>
                <w:color w:val="auto"/>
              </w:rPr>
            </w:pPr>
          </w:p>
        </w:tc>
        <w:tc>
          <w:tcPr>
            <w:tcW w:w="162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7"/>
            <w:vMerge w:val="restart"/>
          </w:tcPr>
          <w:p>
            <w:pPr>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62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7"/>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w w:val="94"/>
              </w:rPr>
              <w:t>Non-Voting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880" w:type="dxa"/>
            <w:vAlign w:val="bottom"/>
            <w:tcBorders>
              <w:bottom w:val="single" w:sz="8" w:color="auto"/>
            </w:tcBorders>
            <w:gridSpan w:val="3"/>
          </w:tcPr>
          <w:p>
            <w:pPr>
              <w:jc w:val="center"/>
              <w:ind w:left="4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50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Amoun</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6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7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2"/>
                <w:szCs w:val="12"/>
                <w:color w:val="auto"/>
              </w:rPr>
            </w:pPr>
          </w:p>
        </w:tc>
        <w:tc>
          <w:tcPr>
            <w:tcW w:w="2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2"/>
                <w:szCs w:val="1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0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2"/>
                <w:szCs w:val="12"/>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w:t>
            </w:r>
          </w:p>
        </w:tc>
        <w:tc>
          <w:tcPr>
            <w:tcW w:w="10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17"/>
        </w:trPr>
        <w:tc>
          <w:tcPr>
            <w:tcW w:w="126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62,692,927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1,026,143</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58,367,961</w:t>
            </w:r>
          </w:p>
        </w:tc>
        <w:tc>
          <w:tcPr>
            <w:tcW w:w="2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4,932,415</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9,251</w:t>
            </w:r>
          </w:p>
        </w:tc>
        <w:tc>
          <w:tcPr>
            <w:tcW w:w="2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(1,138,302 )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(1,129,027 )</w:t>
            </w: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Series G-3</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Preferred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2,738</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Foreign currency</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44"/>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22,756</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(32,709 )</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(32,709 )</w:t>
            </w:r>
          </w:p>
        </w:tc>
        <w:tc>
          <w:tcPr>
            <w:tcW w:w="0" w:type="dxa"/>
            <w:vAlign w:val="bottom"/>
          </w:tcPr>
          <w:p>
            <w:pPr>
              <w:spacing w:after="0"/>
              <w:rPr>
                <w:sz w:val="1"/>
                <w:szCs w:val="1"/>
                <w:color w:val="auto"/>
              </w:rPr>
            </w:pPr>
          </w:p>
        </w:tc>
      </w:tr>
      <w:tr>
        <w:trPr>
          <w:trHeight w:val="125"/>
        </w:trPr>
        <w:tc>
          <w:tcPr>
            <w:tcW w:w="12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Repurchase of Non-voting</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(145,466 )</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(3,602 )</w:t>
            </w: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 issued in</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connection with</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business combination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130,874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(163,635 )</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(163,635 )</w:t>
            </w:r>
          </w:p>
        </w:tc>
        <w:tc>
          <w:tcPr>
            <w:tcW w:w="0" w:type="dxa"/>
            <w:vAlign w:val="bottom"/>
          </w:tcPr>
          <w:p>
            <w:pPr>
              <w:spacing w:after="0"/>
              <w:rPr>
                <w:sz w:val="1"/>
                <w:szCs w:val="1"/>
                <w:color w:val="auto"/>
              </w:rPr>
            </w:pPr>
          </w:p>
        </w:tc>
      </w:tr>
      <w:tr>
        <w:trPr>
          <w:trHeight w:val="115"/>
        </w:trPr>
        <w:tc>
          <w:tcPr>
            <w:tcW w:w="126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w:t>
            </w: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260" w:type="dxa"/>
            <w:vAlign w:val="bottom"/>
            <w:vMerge w:val="continue"/>
          </w:tcPr>
          <w:p>
            <w:pPr>
              <w:spacing w:after="0"/>
              <w:rPr>
                <w:sz w:val="3"/>
                <w:szCs w:val="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62,740,708</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1,051,637</w:t>
            </w:r>
          </w:p>
        </w:tc>
        <w:tc>
          <w:tcPr>
            <w:tcW w:w="2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58,367,961</w:t>
            </w:r>
          </w:p>
        </w:tc>
        <w:tc>
          <w:tcPr>
            <w:tcW w:w="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3"/>
                <w:szCs w:val="3"/>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5,063,289</w:t>
            </w:r>
          </w:p>
        </w:tc>
        <w:tc>
          <w:tcPr>
            <w:tcW w:w="2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(145,466 )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13,556</w:t>
            </w:r>
          </w:p>
        </w:tc>
        <w:tc>
          <w:tcPr>
            <w:tcW w:w="24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(1,334,646 )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(1,324,697 )</w:t>
            </w:r>
          </w:p>
        </w:tc>
        <w:tc>
          <w:tcPr>
            <w:tcW w:w="0" w:type="dxa"/>
            <w:vAlign w:val="bottom"/>
          </w:tcPr>
          <w:p>
            <w:pPr>
              <w:spacing w:after="0" w:line="20" w:lineRule="exact"/>
              <w:rPr>
                <w:sz w:val="1"/>
                <w:szCs w:val="1"/>
                <w:color w:val="auto"/>
              </w:rPr>
            </w:pPr>
          </w:p>
        </w:tc>
      </w:tr>
      <w:tr>
        <w:trPr>
          <w:trHeight w:val="110"/>
        </w:trPr>
        <w:tc>
          <w:tcPr>
            <w:tcW w:w="126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2023</w:t>
            </w:r>
          </w:p>
        </w:tc>
        <w:tc>
          <w:tcPr>
            <w:tcW w:w="66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-205105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-205105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-205105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-205105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-205105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-205105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-205105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-205105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-205105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-205105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-205105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-205105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-205105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COMMON STOCK AND STOCKHOLDERS’ EQUITY (DEFICIT) (Unaudited)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tcPr>
          <w:p>
            <w:pPr>
              <w:spacing w:after="0"/>
              <w:rPr>
                <w:sz w:val="11"/>
                <w:szCs w:val="11"/>
                <w:color w:val="auto"/>
              </w:rPr>
            </w:pPr>
          </w:p>
        </w:tc>
        <w:tc>
          <w:tcPr>
            <w:tcW w:w="160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7"/>
            <w:vMerge w:val="restart"/>
          </w:tcPr>
          <w:p>
            <w:pPr>
              <w:ind w:left="700"/>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60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20" w:type="dxa"/>
            <w:vAlign w:val="bottom"/>
            <w:tcBorders>
              <w:bottom w:val="single" w:sz="8" w:color="auto"/>
            </w:tcBorders>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Borders>
              <w:bottom w:val="single" w:sz="8" w:color="auto"/>
            </w:tcBorders>
            <w:gridSpan w:val="7"/>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Non-Voting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88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Amoun</w:t>
            </w:r>
          </w:p>
        </w:tc>
        <w:tc>
          <w:tcPr>
            <w:tcW w:w="1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6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2"/>
                <w:szCs w:val="12"/>
                <w:color w:val="auto"/>
              </w:rPr>
            </w:pPr>
          </w:p>
        </w:tc>
        <w:tc>
          <w:tcPr>
            <w:tcW w:w="2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2"/>
                <w:szCs w:val="12"/>
                <w:color w:val="auto"/>
              </w:rPr>
            </w:pP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nt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17"/>
        </w:trPr>
        <w:tc>
          <w:tcPr>
            <w:tcW w:w="126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top w:val="single" w:sz="8" w:color="auto"/>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149,274,923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5,043,789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right w:val="single" w:sz="8" w:color="CFF0FC"/>
            </w:tcBorders>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780" w:type="dxa"/>
            <w:vAlign w:val="bottom"/>
            <w:tcBorders>
              <w:right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(145,466 )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2,163,911</w:t>
            </w: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(2,061,980 )</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98,251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upon settlement of</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restricted stock units, net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1,005,440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21"/>
        </w:trPr>
        <w:tc>
          <w:tcPr>
            <w:tcW w:w="12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4"/>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21,038</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(75,840 )</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(75,840 )</w:t>
            </w:r>
          </w:p>
        </w:tc>
        <w:tc>
          <w:tcPr>
            <w:tcW w:w="0" w:type="dxa"/>
            <w:vAlign w:val="bottom"/>
          </w:tcPr>
          <w:p>
            <w:pPr>
              <w:spacing w:after="0"/>
              <w:rPr>
                <w:sz w:val="1"/>
                <w:szCs w:val="1"/>
                <w:color w:val="auto"/>
              </w:rPr>
            </w:pPr>
          </w:p>
        </w:tc>
      </w:tr>
      <w:tr>
        <w:trPr>
          <w:trHeight w:val="117"/>
        </w:trPr>
        <w:tc>
          <w:tcPr>
            <w:tcW w:w="1260" w:type="dxa"/>
            <w:vAlign w:val="bottom"/>
            <w:tcBorders>
              <w:top w:val="single" w:sz="8" w:color="CFF0FC"/>
            </w:tcBorders>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Balance at September 30,</w:t>
            </w: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150,280,363</w:t>
            </w:r>
          </w:p>
        </w:tc>
        <w:tc>
          <w:tcPr>
            <w:tcW w:w="12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5,043,789</w:t>
            </w:r>
          </w:p>
        </w:tc>
        <w:tc>
          <w:tcPr>
            <w:tcW w:w="14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(145,466 )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2,184,926</w:t>
            </w:r>
          </w:p>
        </w:tc>
        <w:tc>
          <w:tcPr>
            <w:tcW w:w="120" w:type="dxa"/>
            <w:vAlign w:val="bottom"/>
          </w:tcPr>
          <w:p>
            <w:pPr>
              <w:spacing w:after="0"/>
              <w:rPr>
                <w:sz w:val="12"/>
                <w:szCs w:val="12"/>
                <w:color w:val="auto"/>
              </w:rPr>
            </w:pPr>
          </w:p>
        </w:tc>
        <w:tc>
          <w:tcPr>
            <w:tcW w:w="12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(2,137,820 )</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10,208</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260" w:type="dxa"/>
            <w:vAlign w:val="bottom"/>
          </w:tcPr>
          <w:p>
            <w:pPr>
              <w:spacing w:after="0"/>
              <w:rPr>
                <w:sz w:val="24"/>
                <w:szCs w:val="24"/>
                <w:color w:val="auto"/>
              </w:rPr>
            </w:pPr>
          </w:p>
        </w:tc>
        <w:tc>
          <w:tcPr>
            <w:tcW w:w="160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2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080" w:type="dxa"/>
            <w:vAlign w:val="bottom"/>
            <w:gridSpan w:val="7"/>
            <w:vMerge w:val="restart"/>
          </w:tcPr>
          <w:p>
            <w:pPr>
              <w:ind w:left="700"/>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vMerge w:val="continue"/>
          </w:tcPr>
          <w:p>
            <w:pPr>
              <w:spacing w:after="0"/>
              <w:rPr>
                <w:sz w:val="10"/>
                <w:szCs w:val="10"/>
                <w:color w:val="auto"/>
              </w:rPr>
            </w:pPr>
          </w:p>
        </w:tc>
        <w:tc>
          <w:tcPr>
            <w:tcW w:w="208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60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20" w:type="dxa"/>
            <w:vAlign w:val="bottom"/>
            <w:tcBorders>
              <w:bottom w:val="single" w:sz="8" w:color="auto"/>
            </w:tcBorders>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Borders>
              <w:bottom w:val="single" w:sz="8" w:color="auto"/>
            </w:tcBorders>
            <w:gridSpan w:val="7"/>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Non-Voting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880" w:type="dxa"/>
            <w:vAlign w:val="bottom"/>
            <w:gridSpan w:val="3"/>
          </w:tcPr>
          <w:p>
            <w:pPr>
              <w:jc w:val="center"/>
              <w:ind w:left="4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2"/>
                <w:szCs w:val="12"/>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Amoun</w:t>
            </w:r>
          </w:p>
        </w:tc>
        <w:tc>
          <w:tcPr>
            <w:tcW w:w="1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1"/>
              </w:rPr>
              <w:t>Amoun</w:t>
            </w: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6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2"/>
                <w:szCs w:val="12"/>
                <w:color w:val="auto"/>
              </w:rPr>
            </w:pPr>
          </w:p>
        </w:tc>
        <w:tc>
          <w:tcPr>
            <w:tcW w:w="2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2"/>
                <w:szCs w:val="12"/>
                <w:color w:val="auto"/>
              </w:rPr>
            </w:pPr>
          </w:p>
        </w:tc>
        <w:tc>
          <w:tcPr>
            <w:tcW w:w="3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2"/>
                <w:szCs w:val="12"/>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w:t>
            </w:r>
          </w:p>
        </w:tc>
        <w:tc>
          <w:tcPr>
            <w:tcW w:w="100" w:type="dxa"/>
            <w:vAlign w:val="bottom"/>
          </w:tcPr>
          <w:p>
            <w:pPr>
              <w:spacing w:after="0"/>
              <w:rPr>
                <w:sz w:val="12"/>
                <w:szCs w:val="12"/>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17"/>
        </w:trPr>
        <w:tc>
          <w:tcPr>
            <w:tcW w:w="126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top w:val="single" w:sz="8" w:color="auto"/>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tcBorders>
              <w:top w:val="single" w:sz="8" w:color="auto"/>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62,740,708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1,042,861</w:t>
            </w:r>
          </w:p>
        </w:tc>
        <w:tc>
          <w:tcPr>
            <w:tcW w:w="220" w:type="dxa"/>
            <w:vAlign w:val="bottom"/>
            <w:shd w:val="clear" w:color="auto" w:fill="CFF0FC"/>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58,367,961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right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5,063,289</w:t>
            </w:r>
          </w:p>
        </w:tc>
        <w:tc>
          <w:tcPr>
            <w:tcW w:w="12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8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(145,466 )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13,556</w:t>
            </w: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(1,270,077 )</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(1,260,074 )</w:t>
            </w:r>
          </w:p>
        </w:tc>
        <w:tc>
          <w:tcPr>
            <w:tcW w:w="0" w:type="dxa"/>
            <w:vAlign w:val="bottom"/>
          </w:tcPr>
          <w:p>
            <w:pPr>
              <w:spacing w:after="0"/>
              <w:rPr>
                <w:sz w:val="1"/>
                <w:szCs w:val="1"/>
                <w:color w:val="auto"/>
              </w:rPr>
            </w:pPr>
          </w:p>
        </w:tc>
      </w:tr>
      <w:tr>
        <w:trPr>
          <w:trHeight w:val="121"/>
        </w:trPr>
        <w:tc>
          <w:tcPr>
            <w:tcW w:w="12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translation adjustment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(54 )</w:t>
            </w: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(54 )</w:t>
            </w:r>
          </w:p>
        </w:tc>
        <w:tc>
          <w:tcPr>
            <w:tcW w:w="0" w:type="dxa"/>
            <w:vAlign w:val="bottom"/>
          </w:tcPr>
          <w:p>
            <w:pPr>
              <w:spacing w:after="0"/>
              <w:rPr>
                <w:sz w:val="1"/>
                <w:szCs w:val="1"/>
                <w:color w:val="auto"/>
              </w:rPr>
            </w:pPr>
          </w:p>
        </w:tc>
      </w:tr>
      <w:tr>
        <w:trPr>
          <w:trHeight w:val="153"/>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Dividends</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8,776</w:t>
            </w:r>
          </w:p>
        </w:tc>
        <w:tc>
          <w:tcPr>
            <w:tcW w:w="220" w:type="dxa"/>
            <w:vAlign w:val="bottom"/>
            <w:shd w:val="clear" w:color="auto" w:fill="CFF0FC"/>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380" w:type="dxa"/>
            <w:vAlign w:val="bottom"/>
            <w:tcBorders>
              <w:right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7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(11,143 )</w:t>
            </w:r>
          </w:p>
        </w:tc>
        <w:tc>
          <w:tcPr>
            <w:tcW w:w="6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(11,143 )</w:t>
            </w:r>
          </w:p>
        </w:tc>
        <w:tc>
          <w:tcPr>
            <w:tcW w:w="0" w:type="dxa"/>
            <w:vAlign w:val="bottom"/>
          </w:tcPr>
          <w:p>
            <w:pPr>
              <w:spacing w:after="0"/>
              <w:rPr>
                <w:sz w:val="1"/>
                <w:szCs w:val="1"/>
                <w:color w:val="auto"/>
              </w:rPr>
            </w:pPr>
          </w:p>
        </w:tc>
      </w:tr>
      <w:tr>
        <w:trPr>
          <w:trHeight w:val="149"/>
        </w:trPr>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(53,426 )</w:t>
            </w:r>
          </w:p>
        </w:tc>
        <w:tc>
          <w:tcPr>
            <w:tcW w:w="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(53,426 )</w:t>
            </w:r>
          </w:p>
        </w:tc>
        <w:tc>
          <w:tcPr>
            <w:tcW w:w="0" w:type="dxa"/>
            <w:vAlign w:val="bottom"/>
          </w:tcPr>
          <w:p>
            <w:pPr>
              <w:spacing w:after="0"/>
              <w:rPr>
                <w:sz w:val="1"/>
                <w:szCs w:val="1"/>
                <w:color w:val="auto"/>
              </w:rPr>
            </w:pPr>
          </w:p>
        </w:tc>
      </w:tr>
      <w:tr>
        <w:trPr>
          <w:trHeight w:val="115"/>
        </w:trPr>
        <w:tc>
          <w:tcPr>
            <w:tcW w:w="12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w:t>
            </w:r>
          </w:p>
        </w:tc>
        <w:tc>
          <w:tcPr>
            <w:tcW w:w="6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right w:val="single" w:sz="8" w:color="CFF0FC"/>
            </w:tcBorders>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560" w:type="dxa"/>
            <w:vAlign w:val="bottom"/>
            <w:tcBorders>
              <w:top w:val="single" w:sz="8" w:color="auto"/>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tcBorders>
              <w:top w:val="single" w:sz="8" w:color="auto"/>
              <w:right w:val="single" w:sz="8" w:color="CFF0FC"/>
            </w:tcBorders>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260" w:type="dxa"/>
            <w:vAlign w:val="bottom"/>
            <w:vMerge w:val="continue"/>
            <w:shd w:val="clear" w:color="auto" w:fill="CFF0FC"/>
          </w:tcPr>
          <w:p>
            <w:pPr>
              <w:spacing w:after="0"/>
              <w:rPr>
                <w:sz w:val="3"/>
                <w:szCs w:val="3"/>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62,740,708</w:t>
            </w:r>
          </w:p>
        </w:tc>
        <w:tc>
          <w:tcPr>
            <w:tcW w:w="120" w:type="dxa"/>
            <w:vAlign w:val="bottom"/>
            <w:vMerge w:val="restart"/>
            <w:shd w:val="clear" w:color="auto" w:fill="CFF0FC"/>
          </w:tcPr>
          <w:p>
            <w:pPr>
              <w:spacing w:after="0"/>
              <w:rPr>
                <w:sz w:val="3"/>
                <w:szCs w:val="3"/>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1,051,637</w:t>
            </w:r>
          </w:p>
        </w:tc>
        <w:tc>
          <w:tcPr>
            <w:tcW w:w="220" w:type="dxa"/>
            <w:vAlign w:val="bottom"/>
            <w:shd w:val="clear" w:color="auto" w:fill="CFF0FC"/>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58,367,961</w:t>
            </w:r>
          </w:p>
        </w:tc>
        <w:tc>
          <w:tcPr>
            <w:tcW w:w="120" w:type="dxa"/>
            <w:vAlign w:val="bottom"/>
            <w:shd w:val="clear" w:color="auto" w:fill="CFF0FC"/>
          </w:tcPr>
          <w:p>
            <w:pPr>
              <w:spacing w:after="0"/>
              <w:rPr>
                <w:sz w:val="3"/>
                <w:szCs w:val="3"/>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3"/>
                <w:szCs w:val="3"/>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FF0FC"/>
          </w:tcPr>
          <w:p>
            <w:pPr>
              <w:spacing w:after="0"/>
              <w:rPr>
                <w:sz w:val="3"/>
                <w:szCs w:val="3"/>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right w:val="single" w:sz="8" w:color="CFF0FC"/>
            </w:tcBorders>
            <w:vMerge w:val="restart"/>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right w:val="single" w:sz="8" w:color="CFF0FC"/>
            </w:tcBorders>
            <w:vMerge w:val="restart"/>
            <w:shd w:val="clear" w:color="auto" w:fill="CFF0FC"/>
          </w:tcPr>
          <w:p>
            <w:pPr>
              <w:spacing w:after="0"/>
              <w:rPr>
                <w:sz w:val="3"/>
                <w:szCs w:val="3"/>
                <w:color w:val="auto"/>
              </w:rPr>
            </w:pPr>
          </w:p>
        </w:tc>
        <w:tc>
          <w:tcPr>
            <w:tcW w:w="5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5,063,289</w:t>
            </w:r>
          </w:p>
        </w:tc>
        <w:tc>
          <w:tcPr>
            <w:tcW w:w="120" w:type="dxa"/>
            <w:vAlign w:val="bottom"/>
            <w:tcBorders>
              <w:right w:val="single" w:sz="8" w:color="CFF0FC"/>
            </w:tcBorders>
            <w:shd w:val="clear" w:color="auto" w:fill="CFF0FC"/>
          </w:tcPr>
          <w:p>
            <w:pPr>
              <w:spacing w:after="0"/>
              <w:rPr>
                <w:sz w:val="3"/>
                <w:szCs w:val="3"/>
                <w:color w:val="auto"/>
              </w:rPr>
            </w:pPr>
          </w:p>
        </w:tc>
        <w:tc>
          <w:tcPr>
            <w:tcW w:w="2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vMerge w:val="restart"/>
            <w:shd w:val="clear" w:color="auto" w:fill="CFF0FC"/>
          </w:tcPr>
          <w:p>
            <w:pPr>
              <w:spacing w:after="0"/>
              <w:rPr>
                <w:sz w:val="3"/>
                <w:szCs w:val="3"/>
                <w:color w:val="auto"/>
              </w:rPr>
            </w:pPr>
          </w:p>
        </w:tc>
        <w:tc>
          <w:tcPr>
            <w:tcW w:w="68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(145,466 )</w:t>
            </w: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13,556</w:t>
            </w:r>
          </w:p>
        </w:tc>
        <w:tc>
          <w:tcPr>
            <w:tcW w:w="120" w:type="dxa"/>
            <w:vAlign w:val="bottom"/>
            <w:tcBorders>
              <w:right w:val="single" w:sz="8" w:color="CFF0FC"/>
            </w:tcBorders>
            <w:shd w:val="clear" w:color="auto" w:fill="CFF0FC"/>
          </w:tcPr>
          <w:p>
            <w:pPr>
              <w:spacing w:after="0"/>
              <w:rPr>
                <w:sz w:val="3"/>
                <w:szCs w:val="3"/>
                <w:color w:val="auto"/>
              </w:rPr>
            </w:pPr>
          </w:p>
        </w:tc>
        <w:tc>
          <w:tcPr>
            <w:tcW w:w="1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(1,334,646 )</w:t>
            </w:r>
          </w:p>
        </w:tc>
        <w:tc>
          <w:tcPr>
            <w:tcW w:w="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(1,324,697 )</w:t>
            </w:r>
          </w:p>
        </w:tc>
        <w:tc>
          <w:tcPr>
            <w:tcW w:w="0" w:type="dxa"/>
            <w:vAlign w:val="bottom"/>
          </w:tcPr>
          <w:p>
            <w:pPr>
              <w:spacing w:after="0" w:line="20" w:lineRule="exact"/>
              <w:rPr>
                <w:sz w:val="1"/>
                <w:szCs w:val="1"/>
                <w:color w:val="auto"/>
              </w:rPr>
            </w:pPr>
          </w:p>
        </w:tc>
      </w:tr>
      <w:tr>
        <w:trPr>
          <w:trHeight w:val="130"/>
        </w:trPr>
        <w:tc>
          <w:tcPr>
            <w:tcW w:w="1260" w:type="dxa"/>
            <w:vAlign w:val="bottom"/>
            <w:shd w:val="clear" w:color="auto" w:fill="CFF0FC"/>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2023</w:t>
            </w:r>
          </w:p>
        </w:tc>
        <w:tc>
          <w:tcPr>
            <w:tcW w:w="660" w:type="dxa"/>
            <w:vAlign w:val="bottom"/>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280" w:type="dxa"/>
            <w:vAlign w:val="bottom"/>
            <w:tcBorders>
              <w:right w:val="single" w:sz="8" w:color="CFF0FC"/>
            </w:tcBorders>
            <w:vMerge w:val="continue"/>
            <w:shd w:val="clear" w:color="auto" w:fill="CFF0FC"/>
          </w:tcPr>
          <w:p>
            <w:pPr>
              <w:spacing w:after="0"/>
              <w:rPr>
                <w:sz w:val="11"/>
                <w:szCs w:val="11"/>
                <w:color w:val="auto"/>
              </w:rPr>
            </w:pPr>
          </w:p>
        </w:tc>
        <w:tc>
          <w:tcPr>
            <w:tcW w:w="100" w:type="dxa"/>
            <w:vAlign w:val="bottom"/>
            <w:tcBorders>
              <w:right w:val="single" w:sz="8" w:color="CFF0FC"/>
            </w:tcBorders>
            <w:vMerge w:val="continue"/>
            <w:shd w:val="clear" w:color="auto" w:fill="CFF0FC"/>
          </w:tcPr>
          <w:p>
            <w:pPr>
              <w:spacing w:after="0"/>
              <w:rPr>
                <w:sz w:val="11"/>
                <w:szCs w:val="11"/>
                <w:color w:val="auto"/>
              </w:rPr>
            </w:pPr>
          </w:p>
        </w:tc>
        <w:tc>
          <w:tcPr>
            <w:tcW w:w="560" w:type="dxa"/>
            <w:vAlign w:val="bottom"/>
            <w:tcBorders>
              <w:right w:val="single" w:sz="8" w:color="CFF0FC"/>
            </w:tcBorders>
            <w:vMerge w:val="continue"/>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140" w:type="dxa"/>
            <w:vAlign w:val="bottom"/>
            <w:tcBorders>
              <w:right w:val="single" w:sz="8" w:color="CFF0FC"/>
            </w:tcBorders>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680" w:type="dxa"/>
            <w:vAlign w:val="bottom"/>
            <w:tcBorders>
              <w:right w:val="single" w:sz="8" w:color="CFF0FC"/>
            </w:tcBorders>
            <w:gridSpan w:val="2"/>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400" w:type="dxa"/>
            <w:vAlign w:val="bottom"/>
            <w:gridSpan w:val="2"/>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720" w:type="dxa"/>
            <w:vAlign w:val="bottom"/>
            <w:tcBorders>
              <w:right w:val="single" w:sz="8" w:color="CFF0FC"/>
            </w:tcBorders>
            <w:gridSpan w:val="2"/>
            <w:vMerge w:val="continue"/>
            <w:shd w:val="clear" w:color="auto" w:fill="CFF0FC"/>
          </w:tcPr>
          <w:p>
            <w:pPr>
              <w:spacing w:after="0"/>
              <w:rPr>
                <w:sz w:val="11"/>
                <w:szCs w:val="11"/>
                <w:color w:val="auto"/>
              </w:rPr>
            </w:pPr>
          </w:p>
        </w:tc>
        <w:tc>
          <w:tcPr>
            <w:tcW w:w="60" w:type="dxa"/>
            <w:vAlign w:val="bottom"/>
            <w:vMerge w:val="continue"/>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-1670685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-1670685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-1670685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-1670685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-1670685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-1670685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-1670685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-1670685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-1670685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-1670685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-1670685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-1670685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-1670685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-25400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-8255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-25400</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-8255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-25400</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-8255</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-25400</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-25400</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-8255</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right="8200" w:hanging="512"/>
        <w:spacing w:after="0" w:line="400" w:lineRule="auto"/>
        <w:tabs>
          <w:tab w:leader="none" w:pos="5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Company Information</w:t>
      </w: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13, 2024, the Company’s registration statement relating to its initial public offering (the “IPO”) was declared effective and its Class A common stock began trading on the Nasdaq Global Select Market on June 14, 2024. On June 17, 2024, the Company completed its IPO in which it issued and sold 11,100,000 shares of Class A common stock, at a public offering price of $37.00 per share. The Company received net proceeds of $382.0 million after deducting underwriting discounts and commissions of $28.7 million.</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IPO, all shares of the Company’s then-outstanding redeemable convertible preferred stock, other than the Company’s Series B redeemable convertible preferred stock, converted into an aggregate of 66,309,550 shares of Class A common stock. The Company’s Series B redeemable convertible preferred stock converted on a one-for-one basis into an aggregate of 5,374,899 shares of Class B common stock. Subsequently, 331,110 shares of Class B common stock were automatically converted into shares of Class A common stock, such that there are 5,043,789 shares of Class B common stock outstanding immediately following the IPO. The Company issued an additional 236,719 shares of Class A common stock pursuant to a separate agreement with an investor in the Series G-3 convertible preferred stock.</w:t>
      </w:r>
    </w:p>
    <w:p>
      <w:pPr>
        <w:spacing w:after="0" w:line="18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June 16, 2024, the Company’s redeemable convertible preferred stock had accrued $188.2 million of unpaid dividends, which were paid in 5,098,799 shares of Class A common stock at the closing of the IPO.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Outstanding shares of non-voting common stock were converted on a one-for-one basis into 5,069,477 shares of Class A common stock.</w:t>
      </w:r>
    </w:p>
    <w:p>
      <w:pPr>
        <w:spacing w:after="0" w:line="22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restricted stock units (“RSUs”) granted to employees pursuant to the Company’s 2015 Plan are subject to two vesting conditions. The first is a time-based component. The second vesting condition is the occurrence of a liquidity event. The liquidity event condition related to these awards was satisfied upon the IPO and, as a result, the Company recognized $488.3 million of stock-based compensation expense for the three months ended June 30, 2024. In connection with the IPO, the Company settled an aggregate of 4,568,291 fully vested RSUs (the “IPO Settled RSUs”). To meet the related tax withholding requirements, the Company withheld 1,911,316 shares from the 4,563,164 shares of Class A common stock issuable upon settlement of the IPO Settled RSUs. Based on the public offering price of $37.00 per share, the tax withholding obligation was $70.8 million.</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issued 109,459 shares of Class A common stock upon the automatic net exercise of a warrant issued to Allen &amp; Company LLC (“Allen”), as further described in Note 9.</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IPO, the Company amended and restated its certificate of incorporation (the “Restated Certificate”), under which authorized capital stock consists of 1,000,000,000 shares of Class A common stock, 5,500,000 shares of Class B common stock, and 20,000,000 shares of preferred stock.</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8" w:right="399" w:bottom="1440" w:gutter="0" w:footer="0" w:header="0"/>
        </w:sectPr>
      </w:pPr>
    </w:p>
    <w:bookmarkStart w:id="12" w:name="page13"/>
    <w:bookmarkEnd w:id="12"/>
    <w:p>
      <w:pPr>
        <w:ind w:left="520" w:right="6020" w:hanging="512"/>
        <w:spacing w:after="0" w:line="400" w:lineRule="auto"/>
        <w:tabs>
          <w:tab w:leader="none" w:pos="5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Principles of Consolidation and Basis of Presentation</w:t>
      </w: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Tempus AI, Inc. and its wholly owned subsidiaries. All intercompany accounts and transactions have been eliminated in consolidation. The condensed consolidated financial statements and accompanying notes were prepared in accordance with accounting principles generally accepted in the United States of America (“GAAP”) and applicable rules and regulations of the U.S. Securities and Exchange Commission (the “SEC”) regarding interim financial information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Certain information and disclosures normally included in the annual consolidated financial statements prepared in accordance with GAAP have been omitted. Accordingly, the unaudited interim condensed consolidated financial statements should be read in conjunction with the audited consolidated financial statements and notes included in the Company’s final prospectus, dated June 13, 2024, filed with the SEC pursuant to Rule 424(b) under the Securities Act of 1933, as amended (the “Securities Act”), on June 17, 2024 (the “Prospectus”) in connection with the IPO. The unaudited interim condensed consolidated financial statements have been prepared on the same basis as the audited consolidated financial statements and reflect, in management’s opinion,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w:t>
      </w:r>
    </w:p>
    <w:p>
      <w:pPr>
        <w:spacing w:after="0" w:line="19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financial position as of September 30, 2024 and its results of operations for the three and nine months ended September 30, 2024 and 2023, and cash flows for the nine months ended September 30, 2024 and 2023. The condensed consolidated balance sheet at December 31, 2023, was derived from audited annual financial statements but does not contain all of the footnote disclosures from the annual financial statements.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and marketable equity securities at September 30, 2024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than described below, there have been no changes to the Company’s significant accounting policies described in the “Notes to the Consolidated Financial Statements” included in the Company’s audited consolidated financial statements as of and for the year ended December 31, 2023 included in the Prospectus that have had a material impact on the Company’s consolidated financial statements and accompanying notes.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13" w:name="page14"/>
    <w:bookmarkEnd w:id="13"/>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condensed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Prior to the IPO, under the two-class method, the net loss attributable to common stockholders was not allocated to the redeemable convertible preferred stock as the holders of its redeemable convertible preferred stock did not have a contractual obligation to share in the Company’s losses. Upon IPO, the Company’s redeemable convertible preferred stock converted to either Class A or Class B common stock and therefore will be included in allocation of net loss attributable to common stockholders as they will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IPO. The Company had $7.1 million of deferred offering costs as of December 31, 2023. Prior to the IPO, deferred offering costs were capitalized on the consolidated balance sheets. Upon the consummation of the IPO, $12.3 million of deferred offering costs were reclassified into additional paid-in capital as an offset against IPO proceeds.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uses the equity method to account for investments in which it has the ability to exercise significant influence over the investee's operating and financial policies. The Company follows the guidance in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which prescribes the use of the equity method for investments in joint ventures where the Company has significant influence. The Company records the initial investment at cost and is subsequently adjusted by the Company's share, based on percentage ownership, of the investee's net income or loss after the date of investment. For the Company's foreign-based equity method investment, the proportionate share of the investee's income is translated into USD at the average exchange rate for the period and the investment is translated using the exchange rate as of the end of the reporting period. The unrealized gains and losses associated with the foreign currency translation of the investment are deferred in accumulated other comprehensive income on the Company's consolidated balance sheets.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 variable interest entity (“VIE”) is an entity that (i) has insufficient equity to permit the entity to finance its activities without additional subordinated financial support, (ii) has equity investors who lack the characteristics of a controlling financial interest, or (iii) the entity is established with non-substantive voting rights (i.e., the entity deprives the majority economic interest holder(s) of voting rights).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 entity that holds a variable interest in a VIE and meets certain requirements would be considered to be the primary beneficiary of the VIE and required to consolidate the VIE in its consolidated financial statements. In order to be considered the primary beneficiary of a VIE, an entity must hold a variable interest in the VIE and have both:</w:t>
      </w:r>
    </w:p>
    <w:p>
      <w:pPr>
        <w:spacing w:after="0" w:line="79"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economic performance of the VIE;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benefits from, or the obligation to absorb losses of, the VIE that could be potentially significant to the VIE.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4" w:name="page15"/>
    <w:bookmarkEnd w:id="14"/>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the Company is not the primary beneficiary in a VIE, it accounts for the investment or other variable interests in a VIE in accordance with applicable GAAP. Periodically, the Company assesses whether any changes in its interest or relationship with the entity affects its determination of whether the entity is a VIE and, if so, whether it is the primary beneficiary.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which provides enhanced disclosures about significant segment expenses. The standard also enhances interim disclosure requirements and provides new segment disclosure requirements for entities with a single reportable segment. The standard is effective for public companies for fiscal years beginning after December 15, 2023, and interim periods within fiscal years beginning after December 15, 2024. Retrospective adoption is required for all prior periods presented. Early adoption is permitted. The Company does not expect the adoption of the new standard to have a material impact on its consolidated financial statements.</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effect that this guidance will have on the consolidated financial statements and related disclosures.</w:t>
      </w:r>
    </w:p>
    <w:p>
      <w:pPr>
        <w:spacing w:after="0" w:line="284"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78"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Financial Accounting Standards Board (“FASB”)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The Company commences revenue recognition when control of these products is transferred to customers in an amount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Genomics and Data and services on the condensed consolidated statements of operations and comprehensive loss, as it believes these best depict how the nature, amount, timing and uncertainty of revenue and cash flows are affected by economic factors.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Genomics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$116.4 million and $96.8 million for the three months ended September 30, 2024 and 2023, respectively. The Company recognized Genomics revenue of $331.3 million and $270.8 million for the nine months ended September 30, 2024 and 2023, respectively.</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the Company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5" w:name="page16"/>
    <w:bookmarkEnd w:id="15"/>
    <w:p>
      <w:pPr>
        <w:ind w:right="480"/>
        <w:spacing w:after="0" w:line="312" w:lineRule="auto"/>
        <w:rPr>
          <w:sz w:val="20"/>
          <w:szCs w:val="20"/>
          <w:color w:val="auto"/>
        </w:rPr>
      </w:pPr>
      <w:r>
        <w:rPr>
          <w:rFonts w:ascii="Times New Roman" w:cs="Times New Roman" w:eastAsia="Times New Roman" w:hAnsi="Times New Roman"/>
          <w:sz w:val="17"/>
          <w:szCs w:val="17"/>
          <w:color w:val="auto"/>
        </w:rPr>
        <w:t>revenue for clinical orders of $105.2 million and $88.3 million for the three months ended September 30, 2024 and 2023, respectively. The Company recognized revenue for clinical orders of $300.3 million and $245.2 million for the nine months ended September 30, 2024 and 2023, respectively.</w:t>
      </w:r>
    </w:p>
    <w:p>
      <w:pPr>
        <w:spacing w:after="0" w:line="14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$11.2 million and $8.5 million for the three months ended September 30, 2024 and 2023, respectively and $31.0 million and $25.6 million for the nine months ended September 30, 2024 and 2023,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Data and services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The Company’s two product offerings are as follows: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8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The primary Insights contract types are as follows:</w:t>
      </w:r>
    </w:p>
    <w:p>
      <w:pPr>
        <w:spacing w:after="0" w:line="52" w:lineRule="exact"/>
        <w:rPr>
          <w:sz w:val="20"/>
          <w:szCs w:val="20"/>
          <w:color w:val="auto"/>
        </w:rPr>
      </w:pPr>
    </w:p>
    <w:p>
      <w:pPr>
        <w:ind w:left="1020" w:right="3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w:t>
      </w:r>
      <w:r>
        <w:rPr>
          <w:rFonts w:ascii="Times New Roman" w:cs="Times New Roman" w:eastAsia="Times New Roman" w:hAnsi="Times New Roman"/>
          <w:sz w:val="18"/>
          <w:szCs w:val="18"/>
          <w:color w:val="auto"/>
        </w:rPr>
        <w:t>– Customer licenses a specific dataset of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71" w:lineRule="exact"/>
        <w:rPr>
          <w:rFonts w:ascii="Times New Roman" w:cs="Times New Roman" w:eastAsia="Times New Roman" w:hAnsi="Times New Roman"/>
          <w:sz w:val="18"/>
          <w:szCs w:val="18"/>
          <w:color w:val="auto"/>
        </w:rPr>
      </w:pPr>
    </w:p>
    <w:p>
      <w:pPr>
        <w:jc w:val="both"/>
        <w:ind w:left="1020" w:right="4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w:t>
      </w:r>
      <w:r>
        <w:rPr>
          <w:rFonts w:ascii="Times New Roman" w:cs="Times New Roman" w:eastAsia="Times New Roman" w:hAnsi="Times New Roman"/>
          <w:sz w:val="18"/>
          <w:szCs w:val="18"/>
          <w:color w:val="auto"/>
        </w:rPr>
        <w:t>– Customer licenses an interchangeable maximum number of de-identified records, and the Company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service as a right to access license and one performance obligation. Revenue is recognized as access to the dataset is provided, ratably over-time, with the measure of progress time-based.</w:t>
      </w:r>
    </w:p>
    <w:p>
      <w:pPr>
        <w:spacing w:after="0" w:line="65"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w:t>
      </w:r>
      <w:r>
        <w:rPr>
          <w:rFonts w:ascii="Times New Roman" w:cs="Times New Roman" w:eastAsia="Times New Roman" w:hAnsi="Times New Roman"/>
          <w:sz w:val="18"/>
          <w:szCs w:val="18"/>
          <w:color w:val="auto"/>
        </w:rPr>
        <w:t>– 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65"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Enhanced Lens application subscription services </w:t>
      </w:r>
      <w:r>
        <w:rPr>
          <w:rFonts w:ascii="Times New Roman" w:cs="Times New Roman" w:eastAsia="Times New Roman" w:hAnsi="Times New Roman"/>
          <w:sz w:val="17"/>
          <w:szCs w:val="17"/>
          <w:color w:val="auto"/>
        </w:rPr>
        <w:t>– Customer licenses access to the Company’s enhanced Lens 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5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Insights products of $50.1 million and $26.9 million for the three months ended September 30, 2024 and 2023, respectively and $122.1 million and $78.7 million for the nine months ended September 30, 2024 and 2023,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addition to TIME, the Company provides other clinical trial services conducting or supporting studies. Tempus Compass LLC, a subsidiary of the Company, is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7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Trials products of $10.1 million and $10.6 million for the three months ended September 30, 2024 and 2023, respectively and $31.8 million and $31.5 million for the nine months ended September 30, 2024 and 2023, respectively.</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$64.5 million and $39.2 million for the three months ended September 30, 2024 and 2023, respectively and $161.4 million and $113.3 million for the nine months ended September 30, 2024 and 2023, respectively.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Multi-year Contract Performance Obligations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$208.8 million as of September 30, 2024, of which the Company expects to recognize approximately 48% as revenue over the next year, and the remaining 37%, 13%, and 2% of its remaining performance obligations as revenue in years two, three, and four,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September 30, 2024 and December 31, 2023 included contract assets of $6.6 million and $2.4 million, respectively.</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 expenses and other current assets.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4" w:right="3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following summarizes the warrant contract asset presentation as of September 30, 2024 and December 31, 2023 (in thousands):</w:t>
      </w:r>
    </w:p>
    <w:p>
      <w:pPr>
        <w:spacing w:after="0" w:line="22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80" w:type="dxa"/>
            <w:vAlign w:val="bottom"/>
            <w:shd w:val="clear" w:color="auto" w:fill="CFF0FC"/>
          </w:tcPr>
          <w:p>
            <w:pPr>
              <w:spacing w:after="0"/>
              <w:rPr>
                <w:sz w:val="20"/>
                <w:szCs w:val="20"/>
                <w:color w:val="auto"/>
              </w:rPr>
            </w:pPr>
          </w:p>
        </w:tc>
      </w:tr>
      <w:tr>
        <w:trPr>
          <w:trHeight w:val="23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80" w:type="dxa"/>
            <w:vAlign w:val="bottom"/>
          </w:tcPr>
          <w:p>
            <w:pPr>
              <w:spacing w:after="0"/>
              <w:rPr>
                <w:sz w:val="20"/>
                <w:szCs w:val="20"/>
                <w:color w:val="auto"/>
              </w:rPr>
            </w:pPr>
          </w:p>
        </w:tc>
      </w:tr>
      <w:tr>
        <w:trPr>
          <w:trHeight w:val="257"/>
        </w:trPr>
        <w:tc>
          <w:tcPr>
            <w:tcW w:w="7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26,342</w:t>
            </w:r>
          </w:p>
        </w:tc>
        <w:tc>
          <w:tcPr>
            <w:tcW w:w="80" w:type="dxa"/>
            <w:vAlign w:val="bottom"/>
            <w:shd w:val="clear" w:color="auto" w:fill="CFF0FC"/>
          </w:tcPr>
          <w:p>
            <w:pPr>
              <w:spacing w:after="0"/>
              <w:rPr>
                <w:sz w:val="22"/>
                <w:szCs w:val="22"/>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Commercialization and Reference Laboratory Agreement with Personalis, Inc. (“Personalis”), which was subsequently amended in August 2024. The Company will pay up to $12.0 million to Personalis over three years as certain milestones are met, $8.0 million of which has been paid as of September 30, 2024. These payments are treated as contract assets and amortized into revenue over the life of the contract. Contract asset balances are offset by deferred revenue generated from receipt of warrants for Personalis common stock (see Note 15). As of September 30, 2024 and December 31, 2023, there was $2.0 million and $0.1 million, respectively, of net contract assets related to this agreement recorded in Prepaid expenses and other current assets,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Services product offerings and timing of 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$53.9 million and $35.7 million during the nine months ended September 30, 2024 and 2023, respectively, that was included in the corresponding deferred revenue balance at the beginning of the periods.</w:t>
      </w:r>
    </w:p>
    <w:p>
      <w:pPr>
        <w:spacing w:after="0" w:line="291" w:lineRule="exact"/>
        <w:rPr>
          <w:sz w:val="20"/>
          <w:szCs w:val="20"/>
          <w:color w:val="auto"/>
        </w:rPr>
      </w:pPr>
    </w:p>
    <w:p>
      <w:pPr>
        <w:ind w:right="8340" w:firstLine="8"/>
        <w:spacing w:after="0" w:line="378" w:lineRule="auto"/>
        <w:tabs>
          <w:tab w:leader="none" w:pos="50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SEngine</w:t>
      </w: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acquisition resulted in goodwill of $9.6 million. The aggregate acquisition date fair value of consideration for the SEngine acquisition totaled $9.9 million. Consideration consisted of $2.8 million of cash and $6.3 million of non-voting common stock. The transaction also includes contingent consideration of up to 35,000 additional shares of non-voting common stock if a liquidity event is 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non-voting common stock to the selling corporation in February 2024 related to the net working capital adjustment.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Mpirik</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Cash consideration of $4.7 million is net of a $0.3 million net working capital adjustment. In accordance with the terms of the agreement, the securityholders of the acquired business were entitled to receive contingent consideration from the Company payable in an aggregate value of $1.0 million in cash, contingent upon the acquired business reaching a revenue target of $1.5 million for the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18" w:name="page19"/>
    <w:bookmarkEnd w:id="18"/>
    <w:p>
      <w:pPr>
        <w:ind w:right="100"/>
        <w:spacing w:after="0" w:line="256" w:lineRule="auto"/>
        <w:rPr>
          <w:sz w:val="20"/>
          <w:szCs w:val="20"/>
          <w:color w:val="auto"/>
        </w:rPr>
      </w:pPr>
      <w:r>
        <w:rPr>
          <w:rFonts w:ascii="Times New Roman" w:cs="Times New Roman" w:eastAsia="Times New Roman" w:hAnsi="Times New Roman"/>
          <w:sz w:val="18"/>
          <w:szCs w:val="18"/>
          <w:color w:val="auto"/>
        </w:rPr>
        <w:t>twelve-month period ended December 31, 2023. The contingent consideration had an acquisition fair value date of $0.4 million, which the Company recognized within Other current liabilities. The contingent consideration was remeasured at fair value in each period following the closing within selling, general and administrative expense. Mpirik did not achieve the revenue target for the twelve-month period ended December 31, 2023. As such, the contingent consideration liability was written down to $0. In addition, the Company issued 17,450 performance stock units to certain retained Mpirik employees on the closing date of the acquisition. In July 2023, the Company’s board of directors approved the removal of the performance-vesting condition, following which performance stock units are treated as restricted stock units.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Arterys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of cash. Cash consideration of $3.0 million is net of a $1.0 million working capital adjustment paid back to Tempus in March 2023.</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8" w:right="439" w:bottom="1440" w:gutter="0" w:footer="0" w:header="0"/>
        </w:sectPr>
      </w:pPr>
    </w:p>
    <w:bookmarkStart w:id="19" w:name="page20"/>
    <w:bookmarkEnd w:id="19"/>
    <w:p>
      <w:pPr>
        <w:ind w:right="7860" w:firstLine="8"/>
        <w:spacing w:after="0" w:line="378" w:lineRule="auto"/>
        <w:tabs>
          <w:tab w:leader="none" w:pos="50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 Property and Equipment, Net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property and equipment, net as of September 30, 2024 and December 31, 2023 (in thousands):</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105,674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91,656</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157,905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(98,513 )</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(79,041 )</w:t>
            </w:r>
          </w:p>
        </w:tc>
      </w:tr>
      <w:tr>
        <w:trPr>
          <w:trHeight w:val="237"/>
        </w:trPr>
        <w:tc>
          <w:tcPr>
            <w:tcW w:w="78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tcBorders>
              <w:top w:val="single" w:sz="8" w:color="CFF0FC"/>
            </w:tcBorders>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-505460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-505460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is classified as follows in the accompanying condensed consolidated statements of operations for the three and nine months ended September 30, 2024 and 2023 (in thousands):</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6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genomics</w:t>
            </w:r>
          </w:p>
        </w:tc>
        <w:tc>
          <w:tcPr>
            <w:tcW w:w="92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24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3,366</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6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2,038</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2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Borders>
              <w:bottom w:val="single" w:sz="8" w:color="CFF0FC"/>
            </w:tcBorders>
          </w:tcPr>
          <w:p>
            <w:pPr>
              <w:spacing w:after="0"/>
              <w:rPr>
                <w:sz w:val="20"/>
                <w:szCs w:val="20"/>
                <w:color w:val="auto"/>
              </w:rPr>
            </w:pPr>
          </w:p>
        </w:tc>
      </w:tr>
      <w:tr>
        <w:trPr>
          <w:trHeight w:val="281"/>
        </w:trPr>
        <w:tc>
          <w:tcPr>
            <w:tcW w:w="4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depreciation</w:t>
            </w:r>
          </w:p>
        </w:tc>
        <w:tc>
          <w:tcPr>
            <w:tcW w:w="92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5,404</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-25400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-187960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as of September 30, 2024 and December 31, 2023, consist of the following (in thousands):</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25,378</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100" w:type="dxa"/>
            <w:vAlign w:val="bottom"/>
            <w:shd w:val="clear" w:color="auto" w:fill="CFF0FC"/>
          </w:tcPr>
          <w:p>
            <w:pPr>
              <w:spacing w:after="0"/>
              <w:rPr>
                <w:sz w:val="20"/>
                <w:szCs w:val="20"/>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37,783</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cloud storage costs</w:t>
            </w:r>
          </w:p>
        </w:tc>
        <w:tc>
          <w:tcPr>
            <w:tcW w:w="36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22,039</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00" w:type="dxa"/>
            <w:vAlign w:val="bottom"/>
            <w:shd w:val="clear" w:color="auto" w:fill="CFF0FC"/>
          </w:tcPr>
          <w:p>
            <w:pPr>
              <w:spacing w:after="0"/>
              <w:rPr>
                <w:sz w:val="21"/>
                <w:szCs w:val="21"/>
                <w:color w:val="auto"/>
              </w:rPr>
            </w:pPr>
          </w:p>
        </w:tc>
      </w:tr>
      <w:tr>
        <w:trPr>
          <w:trHeight w:val="24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tcPr>
          <w:p>
            <w:pPr>
              <w:spacing w:after="0"/>
              <w:rPr>
                <w:sz w:val="21"/>
                <w:szCs w:val="21"/>
                <w:color w:val="auto"/>
              </w:rPr>
            </w:pPr>
          </w:p>
        </w:tc>
      </w:tr>
      <w:tr>
        <w:trPr>
          <w:trHeight w:val="257"/>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101,985</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shd w:val="clear" w:color="auto" w:fill="CFF0FC"/>
          </w:tcPr>
          <w:p>
            <w:pPr>
              <w:spacing w:after="0"/>
              <w:rPr>
                <w:sz w:val="22"/>
                <w:szCs w:val="22"/>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right="7960" w:hanging="512"/>
        <w:spacing w:after="0" w:line="378" w:lineRule="auto"/>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INTANGIBLES </w:t>
      </w:r>
      <w:r>
        <w:rPr>
          <w:rFonts w:ascii="Times New Roman" w:cs="Times New Roman" w:eastAsia="Times New Roman" w:hAnsi="Times New Roman"/>
          <w:sz w:val="18"/>
          <w:szCs w:val="18"/>
          <w:i w:val="1"/>
          <w:iCs w:val="1"/>
          <w:color w:val="auto"/>
        </w:rPr>
        <w:t>Goodwill</w:t>
      </w: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There were no goodwill additions for the three months ended September 30, 2024 and 2023, or for the nine months ended September 30, 2024. During the nine months ended September 30, 2023, goodwill of $10.6 million was recorded in connection with the acquisition of Mpirik. The Company recorded no impairment loss during the three and nine months ended September 30, 2024 and 2023.</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$0.7 million in licensed data related to de-identified data obtained through an amended agreement. During the nine months ended September 30, 2023, the Company recorded $3.8 million in licensed data related to de-identified data obtained through an additional agreement. During the three months ended September 30, 2023, the Company did not record any additions in licensed data.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0" w:name="page21"/>
    <w:bookmarkEnd w:id="20"/>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nine months ended September 30, 2023. A $7.9 million gain resulting from the related reduction of future data license payments was also recorded in Research and development during the nine months ended September 30, 2023. The impairment resulted in a reduction of $40.1 million and $32.7 million to gross intangible assets and accumulated amortization, respectively. There were no impairment charges recognized related to intangible assets during the three months ended September 30, 2024 and 2023, respectively, or the nine months ended September 30, 2024.</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September 30, 2024 and December 31,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0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0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48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data</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Website domain</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48,579</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-25400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-7620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$2.7 million and $2.9 million for the three months ended September 30, 2024 and 2023, respectively, and $8.3 million and $8.9 million for the nine months ended September 30, 2024 and 2023, respectively, and is recorded in cost of revenues, research and development, or selling, general and administrative expense, depending on use of the asset. The weighted average life of the Company’s intangibles is approximately six years.</w:t>
      </w:r>
    </w:p>
    <w:p>
      <w:pPr>
        <w:spacing w:after="0" w:line="287" w:lineRule="exact"/>
        <w:rPr>
          <w:sz w:val="20"/>
          <w:szCs w:val="20"/>
          <w:color w:val="auto"/>
        </w:rPr>
      </w:pPr>
    </w:p>
    <w:p>
      <w:pPr>
        <w:ind w:right="9240" w:firstLine="8"/>
        <w:spacing w:after="0" w:line="378" w:lineRule="auto"/>
        <w:tabs>
          <w:tab w:leader="none" w:pos="50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 SB Tempus</w:t>
      </w: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spacing w:after="0" w:line="183"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maximum exposure to loss from SB Tempus is equal to the carrying value of the Company's investment. As of September 30, 2024, the carrying value of the investment in SB Tempus was $103.7 million. The Company's share of losses from SB Tempus are recorded in other (expense) income, net.</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services revenue over the term of the license subscription which ends on March 31, 2026.</w:t>
      </w:r>
    </w:p>
    <w:p>
      <w:pPr>
        <w:spacing w:after="0" w:line="18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(expense) income, net over three years, based on the estimated time for SB Tempus' systems and technologies to diverge from the Company's.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1" w:name="page22"/>
    <w:bookmarkEnd w:id="21"/>
    <w:p>
      <w:pPr>
        <w:ind w:right="7260" w:firstLine="8"/>
        <w:spacing w:after="0" w:line="378" w:lineRule="auto"/>
        <w:tabs>
          <w:tab w:leader="none" w:pos="50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There were no material such matters as of and for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380" w:firstLine="8"/>
        <w:spacing w:after="0" w:line="378" w:lineRule="auto"/>
        <w:tabs>
          <w:tab w:leader="none" w:pos="50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to the IPO, the Company had authorized two classes of common stock, voting and non-voting. In March 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66,946,627 shares of non-voting common stock. In April 2024, the Company increased the number of authorized shares of Class A common stock to 204,590,500 in conjunction with the Series G-5 Preferred stock financing (see Note 10, Redeemable Convertible Preferred Stock). In connection with the IPO, the Restated Certificate became effective, which authorized 1,000,000,000 shares of Class A common stock, 5,500,000 shares of Class B common stock, and 20,000,000 shares of preferred stock.</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Class A common stock and Class B common stock are collectively referred to as “Common Stock” throughout the notes to these unaudited interim condensed consolidated financial statements unless otherwise noted.</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w:t>
      </w:r>
    </w:p>
    <w:p>
      <w:pPr>
        <w:spacing w:after="0" w:line="225"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Under the Restated Certificate,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w:t>
      </w:r>
    </w:p>
    <w:p>
      <w:pPr>
        <w:spacing w:after="0" w:line="2" w:lineRule="exact"/>
        <w:rPr>
          <w:sz w:val="20"/>
          <w:szCs w:val="20"/>
          <w:color w:val="auto"/>
        </w:rPr>
      </w:pPr>
    </w:p>
    <w:p>
      <w:pPr>
        <w:ind w:right="80" w:firstLine="8"/>
        <w:spacing w:after="0" w:line="253"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day that is no less than 90 days and no more than 150 days following the twenty-year anniversary of the filing of the Restated Certificate, which was filed with the Secretary of State of the State of Delaware on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11, Stock-Based Compensation).</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MSA with AstraZeneca, the Company granted AstraZeneca warrants to purchase $100 million in shares of the Company’s Class A common stock at an exercise price equal to the IPO price of $37.00 per share. The number of shares of Class A common stock issuable upon exercise of the warrant is 2,702,703, based on the IPO price of $37.00 per share.</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$220 million to $320 million through December 2028.</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8, 2023, the Company issued Allen a warrant to purchase 150,000 shares of the Company’s Class A common stock at a price per share of $10.00.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 109,459 shares of Class A common stock upon the net exercise of the warrant.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jc w:val="both"/>
        <w:ind w:right="300"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AKESOgen, Inc., which the Company acquired in December 2019. These shares were accounted for as treasury stock. The Company records treasury stock at cost.</w:t>
      </w:r>
    </w:p>
    <w:p>
      <w:pPr>
        <w:spacing w:after="0" w:line="200" w:lineRule="exact"/>
        <w:rPr>
          <w:sz w:val="20"/>
          <w:szCs w:val="20"/>
          <w:color w:val="auto"/>
        </w:rPr>
      </w:pPr>
    </w:p>
    <w:p>
      <w:pPr>
        <w:spacing w:after="0" w:line="28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2023, the Company issued 47,781 shares of Series G-3 convertible preferred stock as payment of paid-in-kind dividends.</w:t>
      </w:r>
    </w:p>
    <w:p>
      <w:pPr>
        <w:spacing w:after="0" w:line="22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January 2024, the Company issued 66,465 shares of Series G-3 convertible preferred stock and 10,666 shares of Series G-4 convertible preferred stock as payment of paid-in-kind dividends.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had 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sold in the IPO. As such, holders of Series G-4 Preferred were owed an aggregate payment of $2.3 million, which was made in July 2024.</w:t>
      </w:r>
    </w:p>
    <w:p>
      <w:pPr>
        <w:spacing w:after="0" w:line="1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April 2024, the Company issued 3,489,981 shares of Series G-5 convertible preferred stock (“Series G-5 Preferred”) for aggregate proceeds of $200.0 million. Each share has a par value of $0.0001. The Company will use the proceeds for working capital and general corporate purposes.</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IPO, all of the Company’s then-outstanding shares of redeemable convertible preferred stock and accrued but unpaid dividends were automatically converted into 71,976,178 shares of Class A voting common stock and 5,043,789 shares of Class B voting common stock.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Redeemable convertible preferred stock outstanding as of December 31, 2023 consisted of the following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4"/>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B-1</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B-2</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86,757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E</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151,621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F</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119,928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G-2*</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G-3**</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2022/2023</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1,661,895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98,891</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G-4**</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785,245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45,514</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2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69,803,765</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63,525,953</w:t>
            </w:r>
          </w:p>
        </w:tc>
        <w:tc>
          <w:tcPr>
            <w:tcW w:w="3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1,130,429</w:t>
            </w:r>
          </w:p>
        </w:tc>
        <w:tc>
          <w:tcPr>
            <w:tcW w:w="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1,105,543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560" w:firstLine="8"/>
        <w:spacing w:after="0" w:line="282" w:lineRule="auto"/>
        <w:tabs>
          <w:tab w:leader="none" w:pos="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266" w:lineRule="exact"/>
        <w:rPr>
          <w:sz w:val="20"/>
          <w:szCs w:val="20"/>
          <w:color w:val="auto"/>
        </w:rPr>
      </w:pPr>
    </w:p>
    <w:p>
      <w:pPr>
        <w:ind w:right="7920" w:firstLine="8"/>
        <w:spacing w:after="0" w:line="378" w:lineRule="auto"/>
        <w:tabs>
          <w:tab w:leader="none" w:pos="50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2015, the Company adopted the Tempus AI, Inc. 2015 Stock Plan (the “2015 Plan”), which has been amended and restated numerous times to increase the aggregate shares authorized to be issued to employees, consultants, and directors of the Company. As of December 31, 2023, there were 28,115,750 shares authorized under the 2015 Plan.</w:t>
      </w:r>
    </w:p>
    <w:p>
      <w:pPr>
        <w:spacing w:after="0" w:line="17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of RSUs for then-current employees whose RSUs would otherwise expire in 2023 or 2024. The Company accounted for the extension as a stock compensation modification, which resulted in an increase in unrecognized compensation cost of $35.3 million at the time the extension was approved and an additional $12.2 million as the extensions occurred. The RSUs approved for the two-year extension were fully vested as of the IPO date. As such, the Company recognized the full impact of the expiration extension in stock-based compensation in the three months ended June 30, 2024.</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After the IPO, no further grants will be made under the 2015 Stock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awards (“PSUs”) and other awards. The maximum number of shares of Class A common stock that may be issued under the 2024 Plan is 7,430,000 shares of the Company’s Class A common stock and will automatically increase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is 22,290,000 shares.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The majority of RSUs vest over a period of three to five years, with a cliff vest after one year and ratable quarterly vesting thereafter. RSUs granted prior to the IPO were also subject to liquidity event vesting condition, as defined in the grant agreement, which was satisfied in connection with the IPO.</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restricted stock unit activity for the nine months ended September 30, 2024:</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 Average Grant</w:t>
            </w:r>
          </w:p>
        </w:tc>
        <w:tc>
          <w:tcPr>
            <w:tcW w:w="0" w:type="dxa"/>
            <w:vAlign w:val="bottom"/>
          </w:tcPr>
          <w:p>
            <w:pPr>
              <w:spacing w:after="0"/>
              <w:rPr>
                <w:sz w:val="1"/>
                <w:szCs w:val="1"/>
                <w:color w:val="auto"/>
              </w:rPr>
            </w:pPr>
          </w:p>
        </w:tc>
      </w:tr>
      <w:tr>
        <w:trPr>
          <w:trHeight w:val="148"/>
        </w:trPr>
        <w:tc>
          <w:tcPr>
            <w:tcW w:w="6800" w:type="dxa"/>
            <w:vAlign w:val="bottom"/>
          </w:tcPr>
          <w:p>
            <w:pPr>
              <w:spacing w:after="0"/>
              <w:rPr>
                <w:sz w:val="12"/>
                <w:szCs w:val="12"/>
                <w:color w:val="auto"/>
              </w:rPr>
            </w:pPr>
          </w:p>
        </w:tc>
        <w:tc>
          <w:tcPr>
            <w:tcW w:w="20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30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7"/>
        </w:trPr>
        <w:tc>
          <w:tcPr>
            <w:tcW w:w="680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20,788,500</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3,028,130</w:t>
            </w:r>
          </w:p>
        </w:tc>
        <w:tc>
          <w:tcPr>
            <w:tcW w:w="28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(5,568,547 )</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not yet settled</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(10,620,792 )</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(799,238 )</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(147,376 )</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6,680,677</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jc w:val="both"/>
        <w:ind w:right="40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as follows in the accompanying condensed consolidated statements of operations for the three and nine months ended September 30, 2024 and 2023 (in thousands):</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0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8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54,363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389,646</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21,038</w:t>
            </w:r>
          </w:p>
        </w:tc>
        <w:tc>
          <w:tcPr>
            <w:tcW w:w="128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509,351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-187960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(“Ares”) for a senior secured loan (the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Facility”) in the amount of $175 million, less original issue discount of $4.4 million and deferred financing fees of $2.6 million. On April 25,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an amendment to the Credit Agreement, which was accounted for as a debt modification. The amendment to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increased the Term Loan Facility by an aggregate principal amount of $50 million, less original issue discount of $1.3 million and increased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on the Term Loan Facility by 25 basis points. On October 11, 2023, the Company signed a second amendment to its Credit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Ares which provided an additional $35.0 million in term debt. The Company received $34.1 million in cash, which is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million less original issue discount of $0.9 million. Terms of the second amendment are consistent with existing terms of the Credit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the Term Loan Facility will be used for working capital and general corporate purposes, to finance growth initiatives, to pay for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to pay the related transaction costs. The Term Loan Facility is due at maturity on September 22, 2027 and is subject to quarterly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for Base Rate Loans and at the end of the applicable interest rate period for Secured Overnight Financing Rate (“SOFR”) Loans.</w:t>
      </w:r>
    </w:p>
    <w:p>
      <w:pPr>
        <w:spacing w:after="0" w:line="20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79" w:lineRule="exact"/>
        <w:rPr>
          <w:sz w:val="20"/>
          <w:szCs w:val="20"/>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3.25% per annum paid in-kind by adding the accrued interest to the outstanding principal balance on each interest payment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6.25% per annum</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25" w:name="page26"/>
    <w:bookmarkEnd w:id="25"/>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3.25% per annum paid in-kind by adding the accrued interest to the outstanding principal balance on each interest payment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7.25% per annum</w:t>
      </w:r>
    </w:p>
    <w:p>
      <w:pPr>
        <w:spacing w:after="0" w:line="22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addition, 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the Company is required to generate consolidated revenues of $459.1 million and $594.1 million, respectively. The Company was in compliance with all covenants of the Credit Agreement as of September 30, 2024.</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2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original issue discount of $6.5 million and deferred financing fees of $2.6 million are amortized over the term of the underlying debt and unamortized amounts have been offset against long-term debt in the consolidated balance sheets. As of September 30, 2024 and December 31, 2023, the unamortized original issue discount was $4.1 million and $5.1 million, respectively, and the unamortized deferred financing fees were $1.5 million and $1.9 million, respectively.</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Through September 30, 2024, the Company has not made any principal repayments on the Term Loan Facility. During the nine months ended September 30, 2024, the Company made $20.9 million in interest payments.</w:t>
      </w:r>
    </w:p>
    <w:p>
      <w:pPr>
        <w:spacing w:after="0" w:line="16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interest expense of $9.4 million and $27.7 million related to the Term Loan Facility, which represented an effective interest rate of 3.5% and 10.3%, during the three and nine months ended September 30, 2024, respectively. The Company recognized interest expense of $7.9 million and $19.9 million related to the Term Loan Facility, which represented an effective interest rate of 3.4% and 9.7%, during the three and nine months ended September 30, 2023,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Series G-2 preferred stock, at a 10% discount to the purchase price per share in such financing, in partial satisfaction of the outstanding principal amount under the Note, and the Company amended and restated the terms of the Note.</w:t>
      </w:r>
    </w:p>
    <w:p>
      <w:pPr>
        <w:spacing w:after="0" w:line="18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condensed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$3.9 million and $4.1 million during the three months ended September 30, 2024 and 2023, respectively. The company recognized interest expense of $11.2 million and $11.7 million during the nine months ended September 30, 2024 and 2023, respectively.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6" w:name="page27"/>
    <w:bookmarkEnd w:id="26"/>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if-converted method to calculate diluted EPS. As the Company had net losses in the three and nine months ended September 30, 2024 and 2023, all potentially dilutive common stock equivalents have been excluded from the calculation of diluted net loss per share attributable to common stockholders as their effect is anti-dilutive.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6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3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6"/>
        </w:trPr>
        <w:tc>
          <w:tcPr>
            <w:tcW w:w="544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(53,426 )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(692,795 )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(163,635 )</w:t>
            </w: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on Series A, B, B-1, B-2, C, D, E, F, G, G-3,</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G-4 preferred shares</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(11,143 )</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(39,347 )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(32,709 )</w:t>
            </w:r>
          </w:p>
        </w:tc>
        <w:tc>
          <w:tcPr>
            <w:tcW w:w="0" w:type="dxa"/>
            <w:vAlign w:val="bottom"/>
          </w:tcPr>
          <w:p>
            <w:pPr>
              <w:spacing w:after="0"/>
              <w:rPr>
                <w:sz w:val="1"/>
                <w:szCs w:val="1"/>
                <w:color w:val="auto"/>
              </w:rPr>
            </w:pPr>
          </w:p>
        </w:tc>
      </w:tr>
      <w:tr>
        <w:trPr>
          <w:trHeight w:val="211"/>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3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(1,174 )</w:t>
            </w:r>
          </w:p>
        </w:tc>
        <w:tc>
          <w:tcPr>
            <w:tcW w:w="240" w:type="dxa"/>
            <w:vAlign w:val="bottom"/>
          </w:tcPr>
          <w:p>
            <w:pPr>
              <w:spacing w:after="0"/>
              <w:rPr>
                <w:sz w:val="18"/>
                <w:szCs w:val="18"/>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(2,230 )</w:t>
            </w:r>
          </w:p>
        </w:tc>
        <w:tc>
          <w:tcPr>
            <w:tcW w:w="0" w:type="dxa"/>
            <w:vAlign w:val="bottom"/>
          </w:tcPr>
          <w:p>
            <w:pPr>
              <w:spacing w:after="0"/>
              <w:rPr>
                <w:sz w:val="1"/>
                <w:szCs w:val="1"/>
                <w:color w:val="auto"/>
              </w:rPr>
            </w:pPr>
          </w:p>
        </w:tc>
      </w:tr>
      <w:tr>
        <w:trPr>
          <w:trHeight w:val="234"/>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(65,333 )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(733,316 )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(198,574 )</w:t>
            </w:r>
          </w:p>
        </w:tc>
        <w:tc>
          <w:tcPr>
            <w:tcW w:w="0" w:type="dxa"/>
            <w:vAlign w:val="bottom"/>
          </w:tcPr>
          <w:p>
            <w:pPr>
              <w:spacing w:after="0"/>
              <w:rPr>
                <w:sz w:val="1"/>
                <w:szCs w:val="1"/>
                <w:color w:val="auto"/>
              </w:rPr>
            </w:pPr>
          </w:p>
        </w:tc>
      </w:tr>
      <w:tr>
        <w:trPr>
          <w:trHeight w:val="234"/>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165,612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63,286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(0.46 )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(7.04 )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11"/>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3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-1799590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-744855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-744855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-744855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-744855</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-299720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-299720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-299720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-299720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9, the Company issued a warrant for $100 million in shares of the Company’s Class A common stock. As per the terms of the warrant, potentially dilutive shares are based on the latest equity financing price.</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8300" w:type="dxa"/>
            <w:vAlign w:val="bottom"/>
          </w:tcPr>
          <w:p>
            <w:pPr>
              <w:spacing w:after="0"/>
              <w:rPr>
                <w:sz w:val="16"/>
                <w:szCs w:val="16"/>
                <w:color w:val="auto"/>
              </w:rPr>
            </w:pPr>
          </w:p>
        </w:tc>
        <w:tc>
          <w:tcPr>
            <w:tcW w:w="26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69"/>
        </w:trPr>
        <w:tc>
          <w:tcPr>
            <w:tcW w:w="83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r>
      <w:tr>
        <w:trPr>
          <w:trHeight w:val="23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shd w:val="clear" w:color="auto" w:fill="CFF0FC"/>
          </w:tcPr>
          <w:p>
            <w:pPr>
              <w:spacing w:after="0"/>
              <w:rPr>
                <w:sz w:val="20"/>
                <w:szCs w:val="20"/>
                <w:color w:val="auto"/>
              </w:rPr>
            </w:pPr>
          </w:p>
        </w:tc>
      </w:tr>
      <w:tr>
        <w:trPr>
          <w:trHeight w:val="23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62,740,708</w:t>
            </w:r>
          </w:p>
        </w:tc>
        <w:tc>
          <w:tcPr>
            <w:tcW w:w="120" w:type="dxa"/>
            <w:vAlign w:val="bottom"/>
          </w:tcPr>
          <w:p>
            <w:pPr>
              <w:spacing w:after="0"/>
              <w:rPr>
                <w:sz w:val="20"/>
                <w:szCs w:val="20"/>
                <w:color w:val="auto"/>
              </w:rPr>
            </w:pPr>
          </w:p>
        </w:tc>
      </w:tr>
      <w:tr>
        <w:trPr>
          <w:trHeight w:val="247"/>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Astrazeneca warrant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2,702,703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20" w:type="dxa"/>
            <w:vAlign w:val="bottom"/>
            <w:shd w:val="clear" w:color="auto" w:fill="CFF0FC"/>
          </w:tcPr>
          <w:p>
            <w:pPr>
              <w:spacing w:after="0"/>
              <w:rPr>
                <w:sz w:val="21"/>
                <w:szCs w:val="21"/>
                <w:color w:val="auto"/>
              </w:rPr>
            </w:pPr>
          </w:p>
        </w:tc>
      </w:tr>
      <w:tr>
        <w:trPr>
          <w:trHeight w:val="23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Mpirik holdback liability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20" w:type="dxa"/>
            <w:vAlign w:val="bottom"/>
          </w:tcPr>
          <w:p>
            <w:pPr>
              <w:spacing w:after="0"/>
              <w:rPr>
                <w:sz w:val="20"/>
                <w:szCs w:val="20"/>
                <w:color w:val="auto"/>
              </w:rPr>
            </w:pPr>
          </w:p>
        </w:tc>
      </w:tr>
      <w:tr>
        <w:trPr>
          <w:trHeight w:val="247"/>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SEngine holdback liability</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41,007</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SEngine contingent consideration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6,680,677</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9,669,387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64,704,423</w:t>
            </w:r>
          </w:p>
        </w:tc>
        <w:tc>
          <w:tcPr>
            <w:tcW w:w="120" w:type="dxa"/>
            <w:vAlign w:val="bottom"/>
          </w:tcPr>
          <w:p>
            <w:pPr>
              <w:spacing w:after="0"/>
              <w:rPr>
                <w:sz w:val="20"/>
                <w:szCs w:val="20"/>
                <w:color w:val="auto"/>
              </w:rPr>
            </w:pPr>
          </w:p>
        </w:tc>
      </w:tr>
      <w:tr>
        <w:trPr>
          <w:trHeight w:val="20"/>
        </w:trPr>
        <w:tc>
          <w:tcPr>
            <w:tcW w:w="8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-187960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11, the RSUs issued prior to the IPO include a liquidity event performance condition prior to vesting. As such, as of September 30, 2023, these are treated as contingently issuable shares and are excluded from potentially dilutive shares as the liquidity event performance condition was not yet satisfied. As the liquidity event performance condition was satisfied upon completion of the IPO, as of September 30, 2024, these shares are included in potentially dilutive shares.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disclosed in Note 12, contingent upon certain financing events, the Amended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disclosed in Note 10, the Company’s Series G-3 Preferred, Series G-4 Preferred and Series G-5 Preferred contain embedded conversion features resulted in the issuance of additional shares of Class A common stock upon completion of the IPO. The number of shares issued related to these features was dependent upon the IPO price. As such, prior to the IPO, these are treated as contingently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27" w:name="page28"/>
    <w:bookmarkEnd w:id="27"/>
    <w:p>
      <w:pPr>
        <w:ind w:right="560"/>
        <w:spacing w:after="0" w:line="282" w:lineRule="auto"/>
        <w:rPr>
          <w:sz w:val="20"/>
          <w:szCs w:val="20"/>
          <w:color w:val="auto"/>
        </w:rPr>
      </w:pPr>
      <w:r>
        <w:rPr>
          <w:rFonts w:ascii="Times New Roman" w:cs="Times New Roman" w:eastAsia="Times New Roman" w:hAnsi="Times New Roman"/>
          <w:sz w:val="18"/>
          <w:szCs w:val="18"/>
          <w:color w:val="auto"/>
        </w:rPr>
        <w:t>issuable shares. Subsequent to the completion of the IPO in June 2024, the additional shares of Class A common stock are included in the weighted-average common shares outstanding.</w:t>
      </w:r>
    </w:p>
    <w:p>
      <w:pPr>
        <w:spacing w:after="0" w:line="266"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expense (benefit) for the three and nine months ended September 30, 2024 and 2023 is less than $0.2 million.</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266" w:lineRule="exact"/>
        <w:rPr>
          <w:sz w:val="20"/>
          <w:szCs w:val="20"/>
          <w:color w:val="auto"/>
        </w:rPr>
      </w:pPr>
    </w:p>
    <w:p>
      <w:pPr>
        <w:ind w:right="4400" w:firstLine="8"/>
        <w:spacing w:after="0" w:line="377" w:lineRule="auto"/>
        <w:tabs>
          <w:tab w:leader="none" w:pos="5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EQUITY SECURITIES Fair Value Measurements</w:t>
      </w:r>
    </w:p>
    <w:p>
      <w:pPr>
        <w:spacing w:after="0" w:line="2" w:lineRule="exact"/>
        <w:rPr>
          <w:sz w:val="20"/>
          <w:szCs w:val="20"/>
          <w:color w:val="auto"/>
        </w:rPr>
      </w:pPr>
    </w:p>
    <w:p>
      <w:pPr>
        <w:jc w:val="both"/>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160"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Marketable equity securities</w:t>
      </w:r>
      <w:r>
        <w:rPr>
          <w:rFonts w:ascii="Times New Roman" w:cs="Times New Roman" w:eastAsia="Times New Roman" w:hAnsi="Times New Roman"/>
          <w:sz w:val="18"/>
          <w:szCs w:val="18"/>
          <w:color w:val="auto"/>
        </w:rPr>
        <w:t>—The Company holds marketable equity securities, all of which are publicly traded shares of common stock,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quoted prices in active markets and are classified as short-term. The securities are measured at fair value each reporting period. The Company classifies the marketable equity securities as Level 1 as they are valued using quoted market prices at each reporting period.</w:t>
      </w:r>
    </w:p>
    <w:p>
      <w:pPr>
        <w:spacing w:after="0" w:line="214"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was subject to a contingent consideration arrangement to make a cash payment in an aggregate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million, contingent upon Mpirik reaching a revenue target of $1.5 million for the twelve-month period ended December 31, 2023. See Note 4, Business Combinations, for further discussion of that acquisition.</w:t>
      </w:r>
    </w:p>
    <w:p>
      <w:pPr>
        <w:spacing w:after="0" w:line="1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is also subject to a contingent consideration arrangement of 35,000 additional shares of non-voting common stock in connection with the SEngine acquisition, the amount of which is determined based on the per share price of the Company’s non-voting common stock in a liquidity event completed prior to December 31, 2027. The contingent consideration has an acquisition fair value date of $0.8 million. See Note 4, Business Combinations for further discussion of that acquisition.</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 classified the contingent consideration arrangement of up to 35,000 additional shares of non-voting common stock as Level 1 as the shares are valued using a quoted market price.</w:t>
      </w:r>
    </w:p>
    <w:p>
      <w:pPr>
        <w:spacing w:after="0" w:line="18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Warrant asset</w:t>
      </w:r>
      <w:r>
        <w:rPr>
          <w:rFonts w:ascii="Times New Roman" w:cs="Times New Roman" w:eastAsia="Times New Roman" w:hAnsi="Times New Roman"/>
          <w:sz w:val="18"/>
          <w:szCs w:val="18"/>
          <w:color w:val="auto"/>
        </w:rPr>
        <w:t>—The Company received warrants from Personalis, which were exercised in August 2024. The warrant assets are measured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each reporting period using a Black-Scholes option pricing model, which takes into consideration the price and volatility of Personalis Class A common stock. Changes in fair value are recorded in other (expense) income, net. For the three months ended September 30, 2024, the Company recognized a gain of $26.0 million in other (expense) income, net due to the change in fair value of the warrant asset. For the nine months ended September 30, 2024, the Company recognized a gain of $18.3 million in other (expense) income, net due to the change in fair value of the warrant asset. The Company classifies the warrant asset as Level 2 as they are valued using observable market prices of Personalis Class A common stock.</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8" w:name="page29"/>
    <w:bookmarkEnd w:id="28"/>
    <w:p>
      <w:pPr>
        <w:ind w:right="3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9, the Company issued a $100 million warrant to AstraZeneca. The warrant liability is measured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each reporting period, using a Black-Scholes option pricing model. The following table summarizes the assumptions used in the model as of September 30, 2024:</w:t>
      </w:r>
    </w:p>
    <w:p>
      <w:pPr>
        <w:spacing w:after="0" w:line="182"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25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7"/>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55.00 %</w:t>
            </w:r>
          </w:p>
        </w:tc>
      </w:tr>
      <w:tr>
        <w:trPr>
          <w:trHeight w:val="24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-299720</wp:posOffset>
            </wp:positionV>
            <wp:extent cx="6626225"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the warrant liability as Level 3 due to the lack of relevant observable market data over fair value inputs such as the expected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w:t>
      </w:r>
    </w:p>
    <w:p>
      <w:pPr>
        <w:spacing w:after="0" w:line="207"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Term Loan Facility and the Note were not recorded at fair value. The fair values of the Term Loan Facility and the Note approximated their carrying values as of September 30, 2024 and December 31, 2023. Estimates of the fair values of the Term Loan Facility and the Note are classified as Level 3 due to the lack of relevant observable market data over fair value inputs.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and liabilities that are measured at fair value on a recurring basis as of September 30, 2024 and December 31, 2023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76,900</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08"/>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the beginning and ending balances for the assets and liabilities measured at fair value using significant unobservable inputs (Level 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220" w:type="dxa"/>
            <w:vAlign w:val="bottom"/>
          </w:tcPr>
          <w:p>
            <w:pPr>
              <w:spacing w:after="0"/>
              <w:rPr>
                <w:sz w:val="13"/>
                <w:szCs w:val="13"/>
                <w:color w:val="auto"/>
              </w:rPr>
            </w:pPr>
          </w:p>
        </w:tc>
      </w:tr>
      <w:tr>
        <w:trPr>
          <w:trHeight w:val="187"/>
        </w:trPr>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6"/>
        </w:trPr>
        <w:tc>
          <w:tcPr>
            <w:tcW w:w="240" w:type="dxa"/>
            <w:vAlign w:val="bottom"/>
          </w:tcPr>
          <w:p>
            <w:pPr>
              <w:spacing w:after="0"/>
              <w:rPr>
                <w:sz w:val="20"/>
                <w:szCs w:val="20"/>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94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34,500</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20"/>
                <w:szCs w:val="20"/>
                <w:color w:val="auto"/>
              </w:rPr>
            </w:pPr>
          </w:p>
        </w:tc>
        <w:tc>
          <w:tcPr>
            <w:tcW w:w="220" w:type="dxa"/>
            <w:vAlign w:val="bottom"/>
          </w:tcPr>
          <w:p>
            <w:pPr>
              <w:spacing w:after="0"/>
              <w:rPr>
                <w:sz w:val="20"/>
                <w:szCs w:val="20"/>
                <w:color w:val="auto"/>
              </w:rPr>
            </w:pPr>
          </w:p>
        </w:tc>
      </w:tr>
      <w:tr>
        <w:trPr>
          <w:trHeight w:val="239"/>
        </w:trPr>
        <w:tc>
          <w:tcPr>
            <w:tcW w:w="24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42,400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47"/>
        </w:trPr>
        <w:tc>
          <w:tcPr>
            <w:tcW w:w="240" w:type="dxa"/>
            <w:vAlign w:val="bottom"/>
          </w:tcPr>
          <w:p>
            <w:pPr>
              <w:spacing w:after="0"/>
              <w:rPr>
                <w:sz w:val="21"/>
                <w:szCs w:val="21"/>
                <w:color w:val="auto"/>
              </w:rPr>
            </w:pPr>
          </w:p>
        </w:tc>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out of Level 3</w:t>
            </w:r>
          </w:p>
        </w:tc>
        <w:tc>
          <w:tcPr>
            <w:tcW w:w="2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(969 )</w:t>
            </w:r>
          </w:p>
        </w:tc>
        <w:tc>
          <w:tcPr>
            <w:tcW w:w="220" w:type="dxa"/>
            <w:vAlign w:val="bottom"/>
          </w:tcPr>
          <w:p>
            <w:pPr>
              <w:spacing w:after="0"/>
              <w:rPr>
                <w:sz w:val="21"/>
                <w:szCs w:val="21"/>
                <w:color w:val="auto"/>
              </w:rPr>
            </w:pPr>
          </w:p>
        </w:tc>
      </w:tr>
      <w:tr>
        <w:trPr>
          <w:trHeight w:val="277"/>
        </w:trPr>
        <w:tc>
          <w:tcPr>
            <w:tcW w:w="240" w:type="dxa"/>
            <w:vAlign w:val="bottom"/>
          </w:tcPr>
          <w:p>
            <w:pPr>
              <w:spacing w:after="0"/>
              <w:rPr>
                <w:sz w:val="24"/>
                <w:szCs w:val="24"/>
                <w:color w:val="auto"/>
              </w:rPr>
            </w:pPr>
          </w:p>
        </w:tc>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8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76,900</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Pr>
          <w:p>
            <w:pPr>
              <w:spacing w:after="0"/>
              <w:rPr>
                <w:sz w:val="24"/>
                <w:szCs w:val="24"/>
                <w:color w:val="auto"/>
              </w:rPr>
            </w:pPr>
          </w:p>
        </w:tc>
      </w:tr>
      <w:tr>
        <w:trPr>
          <w:trHeight w:val="628"/>
        </w:trPr>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8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-933450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-916305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-933450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-916305</wp:posOffset>
            </wp:positionV>
            <wp:extent cx="603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29" w:name="page30"/>
    <w:bookmarkEnd w:id="29"/>
    <w:tbl>
      <w:tblPr>
        <w:tblLayout w:type="fixed"/>
        <w:tblInd w:w="24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Contingent</w:t>
            </w:r>
          </w:p>
        </w:tc>
      </w:tr>
      <w:tr>
        <w:trPr>
          <w:trHeight w:val="187"/>
        </w:trPr>
        <w:tc>
          <w:tcPr>
            <w:tcW w:w="73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0" w:type="dxa"/>
            <w:vAlign w:val="bottom"/>
          </w:tcPr>
          <w:p>
            <w:pPr>
              <w:spacing w:after="0"/>
              <w:rPr>
                <w:sz w:val="16"/>
                <w:szCs w:val="16"/>
                <w:color w:val="auto"/>
              </w:rPr>
            </w:pPr>
          </w:p>
        </w:tc>
      </w:tr>
      <w:tr>
        <w:trPr>
          <w:trHeight w:val="236"/>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42,500</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 from Mpirik</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w:t>
            </w:r>
          </w:p>
        </w:tc>
        <w:tc>
          <w:tcPr>
            <w:tcW w:w="106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r>
      <w:tr>
        <w:trPr>
          <w:trHeight w:val="250"/>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0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(8,000 )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60" w:type="dxa"/>
            <w:vAlign w:val="bottom"/>
          </w:tcPr>
          <w:p>
            <w:pPr>
              <w:spacing w:after="0"/>
              <w:rPr>
                <w:sz w:val="21"/>
                <w:szCs w:val="21"/>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r>
      <w:tr>
        <w:trPr>
          <w:trHeight w:val="277"/>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34,500</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recognized a loss of $43.3 million and a gain of $2.3 million, respectively, in other (expense) income, net due to the change in the fair value of warrant liability determined by Level 3 valuation techniques. For the nine months ended September 30, 2024 and 2023, the Company recognized a loss of $42.4 million and a gain of $8.0 million, respectively, in other (expense) income, net due to the change in the fair value of warrant liability determined by Level 3 valuation techniques.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equity securities, which are all publicly traded shares of Recursion Pharmaceuticals, Inc. ("Recursion") Class A common stock and Personalis common stock.</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Recursion shares were received as payment of accounts receivable. During the three months ended September 30, 2024, the Company did not sell any shares of Recursion Class A common stock. During the nine months ended September 30, 2024, the Company sold 1,725,902 shares of Recursion Class A common stock at a weighted average price of $13.38 per share for aggregate proceeds of $23.1 million.</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The Company owns less than 20% of Personalis' outstanding common stock and has no significant influence or control over Personalis.</w:t>
      </w:r>
    </w:p>
    <w:p>
      <w:pPr>
        <w:spacing w:after="0" w:line="192"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Changes in fair value of marketable equity securities are recorded in earnings within other (expense) income, net on the condensed consolidated statement of operations and comprehensive loss. The following summarizes the portion of unrealized gains recorded during the three and nine months ended September 30, 2024 that relate to marketable equity securities held as of September 30, 2024 (in thousands). There were no marketable equity securities outstanding as of September 30,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40" w:type="dxa"/>
            <w:vAlign w:val="bottom"/>
          </w:tcPr>
          <w:p>
            <w:pPr>
              <w:jc w:val="center"/>
              <w:ind w:left="42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840" w:type="dxa"/>
            <w:vAlign w:val="bottom"/>
            <w:gridSpan w:val="2"/>
          </w:tcPr>
          <w:p>
            <w:pPr>
              <w:jc w:val="center"/>
              <w:ind w:left="1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5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gain during the period on marketable</w:t>
            </w:r>
          </w:p>
        </w:tc>
        <w:tc>
          <w:tcPr>
            <w:tcW w:w="900" w:type="dxa"/>
            <w:vAlign w:val="bottom"/>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0" w:type="dxa"/>
            <w:vAlign w:val="bottom"/>
          </w:tcPr>
          <w:p>
            <w:pPr>
              <w:spacing w:after="0"/>
              <w:rPr>
                <w:sz w:val="21"/>
                <w:szCs w:val="21"/>
                <w:color w:val="auto"/>
              </w:rPr>
            </w:pPr>
          </w:p>
        </w:tc>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840" w:type="dxa"/>
            <w:vAlign w:val="bottom"/>
            <w:gridSpan w:val="2"/>
            <w:shd w:val="clear" w:color="auto" w:fill="CFF0FC"/>
          </w:tcPr>
          <w:p>
            <w:pPr>
              <w:jc w:val="right"/>
              <w:ind w:right="17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Net gain recognized during the period on</w:t>
            </w:r>
          </w:p>
        </w:tc>
        <w:tc>
          <w:tcPr>
            <w:tcW w:w="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equity securities sold during the</w:t>
            </w:r>
          </w:p>
        </w:tc>
        <w:tc>
          <w:tcPr>
            <w:tcW w:w="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(6,081 )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456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Unrealized loss (gain) recognized during the period</w:t>
            </w:r>
          </w:p>
        </w:tc>
        <w:tc>
          <w:tcPr>
            <w:tcW w:w="900" w:type="dxa"/>
            <w:vAlign w:val="bottom"/>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on marketable equity securities still held at</w:t>
            </w:r>
          </w:p>
        </w:tc>
        <w:tc>
          <w:tcPr>
            <w:tcW w:w="2840" w:type="dxa"/>
            <w:vAlign w:val="bottom"/>
            <w:gridSpan w:val="2"/>
            <w:vMerge w:val="restart"/>
            <w:shd w:val="clear" w:color="auto" w:fill="CFF0FC"/>
          </w:tcPr>
          <w:p>
            <w:pPr>
              <w:jc w:val="right"/>
              <w:ind w:right="17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6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(962 )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00" w:type="dxa"/>
            <w:vAlign w:val="bottom"/>
          </w:tcPr>
          <w:p>
            <w:pPr>
              <w:spacing w:after="0"/>
              <w:rPr>
                <w:sz w:val="21"/>
                <w:szCs w:val="21"/>
                <w:color w:val="auto"/>
              </w:rPr>
            </w:pPr>
          </w:p>
        </w:tc>
        <w:tc>
          <w:tcPr>
            <w:tcW w:w="4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the reporting date</w:t>
            </w:r>
          </w:p>
        </w:tc>
        <w:tc>
          <w:tcPr>
            <w:tcW w:w="2840" w:type="dxa"/>
            <w:vAlign w:val="bottom"/>
            <w:gridSpan w:val="2"/>
            <w:vMerge w:val="continue"/>
            <w:shd w:val="clear" w:color="auto" w:fill="CFF0FC"/>
          </w:tcPr>
          <w:p>
            <w:pPr>
              <w:spacing w:after="0"/>
              <w:rPr>
                <w:sz w:val="21"/>
                <w:szCs w:val="21"/>
                <w:color w:val="auto"/>
              </w:rPr>
            </w:pPr>
          </w:p>
        </w:tc>
        <w:tc>
          <w:tcPr>
            <w:tcW w:w="480" w:type="dxa"/>
            <w:vAlign w:val="bottom"/>
            <w:vMerge w:val="continue"/>
            <w:shd w:val="clear" w:color="auto" w:fill="CFF0FC"/>
          </w:tcPr>
          <w:p>
            <w:pPr>
              <w:spacing w:after="0"/>
              <w:rPr>
                <w:sz w:val="21"/>
                <w:szCs w:val="21"/>
                <w:color w:val="auto"/>
              </w:rPr>
            </w:pPr>
          </w:p>
        </w:tc>
        <w:tc>
          <w:tcPr>
            <w:tcW w:w="620" w:type="dxa"/>
            <w:vAlign w:val="bottom"/>
            <w:gridSpan w:val="2"/>
            <w:vMerge w:val="continue"/>
            <w:shd w:val="clear" w:color="auto" w:fill="CFF0FC"/>
          </w:tcPr>
          <w:p>
            <w:pPr>
              <w:spacing w:after="0"/>
              <w:rPr>
                <w:sz w:val="21"/>
                <w:szCs w:val="21"/>
                <w:color w:val="auto"/>
              </w:rPr>
            </w:pPr>
          </w:p>
        </w:tc>
        <w:tc>
          <w:tcPr>
            <w:tcW w:w="2160" w:type="dxa"/>
            <w:vAlign w:val="bottom"/>
            <w:gridSpan w:val="2"/>
            <w:vMerge w:val="continue"/>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1"/>
        </w:trPr>
        <w:tc>
          <w:tcPr>
            <w:tcW w:w="300" w:type="dxa"/>
            <w:vAlign w:val="bottom"/>
          </w:tcPr>
          <w:p>
            <w:pPr>
              <w:spacing w:after="0"/>
              <w:rPr>
                <w:sz w:val="24"/>
                <w:szCs w:val="24"/>
                <w:color w:val="auto"/>
              </w:rPr>
            </w:pPr>
          </w:p>
        </w:tc>
        <w:tc>
          <w:tcPr>
            <w:tcW w:w="456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9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-1087755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-1070610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-1087755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-1070610</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30" w:name="page31"/>
    <w:bookmarkEnd w:id="30"/>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liability is amortized through the right-of-use asset as a reduction of rent expense over the lease term. The Company had a remaining related liability of $0.6 million and $0.7 million as of September 30, 2024 and December 31, 2023, respectively. The Company subleases a portion of office space to this related party on a month-to-month basis. Sublease income received from the related party was insignificant for the three and nine months ended September 30, 2024 and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August 19, 2021, the Company entered into a related party arrangement with Pathos AI, Inc. (“Pathos”), which was subsequently amended on February 12, 2024, for the purpose of furthering the commercialization efforts of drug development. Tempus received a warrant to purchase 23,456,790 shares, or approximately 19% of the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w:t>
      </w:r>
    </w:p>
    <w:p>
      <w:pPr>
        <w:spacing w:after="0" w:line="18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various agreements with Pathos, encompassing access to the Company's Lens product, sequencing, clinical research organization and other data services. The Company has recognized $2.4 million and $2.6 million for the three and nine months ended September 30, 2024, respectively. The Company has recognized $0.1 million and $0.6 million for the three and nine months ended September 30, 2023, respectively.</w:t>
      </w:r>
    </w:p>
    <w:p>
      <w:pPr>
        <w:spacing w:after="0" w:line="19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amount due to related parties was less than $0.1 million and as of December 31, 2023, there was no amount due to related parties. As of September 30, 2024 and December 31, 2023, the amount due from related parties was $2.0 million and less than $0.1 million, respectively.</w:t>
      </w:r>
    </w:p>
    <w:p>
      <w:pPr>
        <w:spacing w:after="0" w:line="280"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November 4, 2024, the Company entered into a Securities Purchase Agreement (the “Purchase Agreement”) with REALM IDx, Inc., a Delaware corporation (“Seller”), and Seller’s ultimate parent, Konica Minolta, Inc., a Japanese corporation, pursuant to which the Company agreed to purchase all of the outstanding shares of capital stock of Ambry Genetics Corporation, a Delaware corporation (“Ambry”), a leader in genetic testing that aims to improve health by understanding the relationship between genetics and disease (the “Acquisition”). Pursuant to the terms of the Purchase Agreement, consideration for the Acquisition consists of $375.0 million in cash, subject to adjustment for cash, unpaid indebtedness, unpaid transaction expenses and net working capital of Ambry (the “Cash Consideration”), plus the issuance of an aggregate of 4,843,136 shares of the Company’s Class A common stock (the “Stock Consideration”), 2,152,505 of which shares will be subject to a lock-up for a period of one year following the closing date of the Acquisition. In addition, $5.0 million of the Cash Consideration will be held in an escrow account for purposes of satisfying any post-closing purchase price adjustments. The Acquisition is expected to close in the first quarter of 2025, subject to the satisfaction of closing conditions contained in the Purchase Agreement, including receipt of all required regulatory approvals.</w:t>
      </w:r>
    </w:p>
    <w:p>
      <w:pPr>
        <w:spacing w:after="0" w:line="19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the Company entered into a debt commitment letter, dated November 4, 2024 (the “Commitment Letter”), with Ares, pursuant to which Ares has committed to provide (i) a $100.0 million senior secured revolving credit facility (the “Revolving Credit Facility”) and (ii) additional term loans in an aggregate principal amount of $200.0 million (the “Additional Term Loan”). The Company expects to utilize borrowings under the Additional Term Loan and the Revolving Credit Facility to fund the Cash Consideration for the Acquisition and to pay fees and expenses related thereto. Ares’ obligation to provide the contemplated financings is subject to a number of customary conditions contained in the Commitment Letter, including the execution of definitive documentation contemplated by the Commitment Letter and the closing of the Acquisition substantially simultaneously with the initial borrowings under the Additional Term Loan and Revolving Credit Facility.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 looking statements contained in this Quarterly Report on Form 10-Q include, but are not limited to, statements concerning the following:</w:t>
      </w:r>
    </w:p>
    <w:p>
      <w:pPr>
        <w:spacing w:after="0" w:line="81" w:lineRule="exact"/>
        <w:rPr>
          <w:sz w:val="20"/>
          <w:szCs w:val="20"/>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including through our joint venture, SB Tempus, in Japan;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businesses, form joint ventures or make investments in companies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release of lock-up agreements or market standoff agreements, anticipation of such events, and sales of shares of our Class A common stock by our stockholders.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2" w:name="page33"/>
    <w:bookmarkEnd w:id="32"/>
    <w:p>
      <w:pPr>
        <w:ind w:firstLine="509"/>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for the year ended December 31, 2023 included in the final prospectus, or the Final Prospectus, for our initial public offering, or the IPO, dated as of June 13, 2024 and filed with the Securities and Exchange Commission, or the SEC, pursuant to Rule 424(b)(4) on June 17, 2024.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Quarterly Report on Form 10-Q for a discussion of forward- looking statements and important factors that could cause actual results to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$180.9 and $136.1 million in the three months ended September 30, 2024 and 2023, respectively, and $492.7 million and $384.1 million in the nine months ended September 30, 2024 and 2023, respectively. We also incurred net losses of $75.8 and $53.4 million in the three months ended September 30, 2024 and 2023, respectively, and net losses of $692.8 million and $163.6 million in the nine months ended September 30, 2024 and 2023, respectively. We generated adjusted EBITDA of $(21.8) million and $(36.2) million, in the three months ended September 30, 2024 and 2023, respectively, and $(97.0) million and $(119.1) million in the nine months ended September 30, 2024 and 2023,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"—Non-GAAP Financial Measure."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Ambry Genetics Corporation</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November 4, 2024, we entered into a Securities Purchase Agreement (the “Purchase Agreement”) with REALM IDx, Inc., a Delaware corporation (“Seller”), and Seller’s ultimate parent, Konica Minolta, Inc., a Japanese corporation, pursuant to which we agreed to purchase all of the outstanding shares of capital stock of Ambry Genetics Corporation, a Delaware corporation (“Ambry”), a leader in genetic testing that aims to improve health by understanding the relationship between genetics and disease (the “Acquisition”). Pursuant to the terms of the Purchase Agreement, consideration for the Acquisition consists of $375.0 million in cash, subject to adjustment for cash, unpaid indebtedness, unpaid transaction expenses and net working capital of Ambry (the “Cash Consideration”), plus the issuance of an aggregate of 4,843,136 shares of the our Class A common stock (the “Stock Consideration”), 2,152,505 of which shares will be subject to a lock-up for a period of one year following the closing date of the Acquisition. In addition, $5.0 million of the Cash Consideration will be held in an escrow account for purposes of satisfying any post-closing purchase price adjustments. The Acquisition is expected to close in the first quarter of 2025, subject to the satisfaction of closing conditions contained in the Purchase Agreement, including receipt of all required regulatory approvals.</w:t>
      </w:r>
    </w:p>
    <w:p>
      <w:pPr>
        <w:spacing w:after="0" w:line="19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Purchase Agreement, we entered into a debt commitment letter, dated November 4, 2024 (the “Commitment Letter”), with Ares, pursuant to which Ares has committed to provide (i) a $100 million senior secured revolving credit facility (the “Revolving Credit Facility”) and (ii) additional term loans in an aggregate principal amount of $200.0 million (the “Additional Term Loan”). We expect to utilize borrowings under the Additional Term Loan and the Revolving Credit Facility to fund the Cash Consideration for the Acquisition and to pay fees and expenses related thereto. Ares’ obligation to provide the contemplated financings is subject to a number of customary conditions contained in the Commitment Letter, including the execution of definitive documentation contemplated by the Commitment Letter and the closing of the Acquisition substantially simultaneously with the initial borrowings under the Additional Term Loan and Revolving Credit Facility.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On June 13, 2024, the registration statement relating to our IPO was declared effective and shares of our Class A common stock began trading on the Nasdaq Global Select Market on June 14, 2024. On June 17, 2024, we completed our IPO in which we issued and sold 11,100,000 shares of Class A common stock, at a public offering price of $37.00 per share. We received net proceeds of $382.0 million after deducting underwriting discounts and commissions of $28.7 million.</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IPO, all shares of our then-outstanding redeemable convertible preferred stock, other than our Series B redeemable convertible preferred stock, converted into an aggregate of 66,309,550 shares of Class A common stock. Series B redeemable convertible preferred stock converted on a one-for-one basis into an aggregate of 5,374,899 shares of Class B common stock. Subsequently, 331,110 shares of Class B common stock were automatically converted into shares of Class A common stock, such that there are 5,043,789 shares of Class B common stock outstanding. We issued an additional 236,719 shares of Class A common stock to an investor in Series G-3 preferred stock, pursuant to a separate agreement further described in Note 10.</w:t>
      </w:r>
    </w:p>
    <w:p>
      <w:pPr>
        <w:spacing w:after="0" w:line="18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June 16, 2024, our redeemable convertible preferred stock had accrued $188.2 million of unpaid dividends, which were paid in 5,098,799 shares of Class A common stock at the closing of the IPO.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Outstanding shares of non-voting common stock were converted on a one-for-one basis into 5,069,477 shares of Class A common stock.</w:t>
      </w:r>
    </w:p>
    <w:p>
      <w:pPr>
        <w:spacing w:after="0" w:line="22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restricted stock units, or RSUs, granted to employees are subject to two vesting conditions. The first is a time-based component. The second vesting condition is the occurrence of a liquidity event. The liquidity event condition related to these awards was satisfied upon the effectiveness of the IPO. Upon effectiveness of the IPO, we recognized $488.3 million of stock-based compensation expense during the three months ended June 30, 2024. To meet the related tax withholding requirements, we withheld 1,911,316 shares of the 4,563,164 shares of Class A common stock issued. Based on the IPO public offering price of $37.00 per share, the tax withholding obligation was $70.8 million.</w:t>
      </w:r>
    </w:p>
    <w:p>
      <w:pPr>
        <w:spacing w:after="0" w:line="183"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issued 109,459 shares of Class A common stock related to the exercise of a warrant issued to Allen, as further described in Note 9 to our unaudited condensed consolidated financial statements included elsewhere in this Quarterly Report on Form 10-Q, which was subject to automatic net exercise upon the IPO.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IPO, we amended and restated our certificate of incorporation, under which authorized capital stock consists of 1,000,000,000 shares of Class A common stock, 5,500,000 shares of Class B common stock, and 20,000,000 shares of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from $220 million to $320 million through December 2028 upon the occurrence of any of the following events: (i) at AstraZeneca’s election on or before December 31, 2024, (ii) the date that AstraZeneca exercises the warrant issued pursuant to the terms thereof (as described below), or (iii) if the average closing price of our Class A common stock exceeds two times the IPO price for any 30-day trading period following the one-year anniversary of such initial public offering.</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$37.00 per share, the public offering price in our IPO. The warrant may be exercised any time following the date that is 180 days following the pricing of our IPO.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from $220 million to $320 million through December 2028.</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“Item 1A.—Risk Factors” for more information.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$27.3 and $23.2 million during the three months ended September 30, 2024 and 2023, respectively, and $119.7 million and $66.3 million during the nine months ended September 30, 2024 and 2023,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7,000 physicians and we have worked with over 200 biotech companies, as well as 19 of the 20 largest public pharmaceutical companies based on 2023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$30.7 million and $24.2 million during the three months ended September 30, 2024 and 2023, respectively, and $135.7 million and $70.5 million during the nine months ended September 30, 2024 and 2023,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2023, we had received payment on approximately 50% of our clinical oncology NGS tests across all payers performed from January 1, 2021 through December 31, 2022. We calculated this metric on a trailing basis based on payer adjudication timing. However, we continued to perform our NGS tests through December 31, 2023. For the years ended December 31, 2022 and 2023, our average reimbursement for NGS tests in oncology was approximately $916 and $1,452,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absolute dollars after our IPO, primarily due to increased headcount and costs associated with operating as a public company, including expenses related to legal,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8" w:name="page39"/>
    <w:bookmarkEnd w:id="38"/>
    <w:p>
      <w:pPr>
        <w:ind w:right="20"/>
        <w:spacing w:after="0" w:line="258" w:lineRule="auto"/>
        <w:rPr>
          <w:sz w:val="20"/>
          <w:szCs w:val="20"/>
          <w:color w:val="auto"/>
        </w:rPr>
      </w:pPr>
      <w:r>
        <w:rPr>
          <w:rFonts w:ascii="Times New Roman" w:cs="Times New Roman" w:eastAsia="Times New Roman" w:hAnsi="Times New Roman"/>
          <w:sz w:val="18"/>
          <w:szCs w:val="18"/>
          <w:color w:val="auto"/>
        </w:rPr>
        <w:t>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and finance leases. Interest expense related to our convertible debt will continue, but should decrease over time as the principal amount decreases.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Other (expense) income, net consists of foreign currency exchange gains and losses, gains and losses on marketable equity securities, income from the IP License Agreement (as defined below) with SB Tempus Corp., or SB Tempus,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which was exercised in August 2024. The fair value of the warrant assets and liabilities are measured each reporting period.</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Losses from equity method investments consist of earnings from our joint ventures.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5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331,315</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161,403</w:t>
            </w:r>
          </w:p>
        </w:tc>
        <w:tc>
          <w:tcPr>
            <w:tcW w:w="28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492,718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52,384</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119,713</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644,063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234,545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180,846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1,133,100</w:t>
            </w:r>
          </w:p>
        </w:tc>
        <w:tc>
          <w:tcPr>
            <w:tcW w:w="28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527,886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(53,616 )</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(44,789 )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(640,382 )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(143,788 )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280" w:type="dxa"/>
            <w:vAlign w:val="bottom"/>
            <w:tcBorders>
              <w:left w:val="single" w:sz="8" w:color="CFF0FC"/>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(13,761 )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(12,342 )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(40,294 )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(33,245 )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(11,522 )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(17,821 )</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(74,110 )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(53,361 )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(690,959 )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(163,260 )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shd w:val="clear" w:color="auto" w:fill="CFF0FC"/>
          </w:tcPr>
          <w:p>
            <w:pPr>
              <w:spacing w:after="0"/>
              <w:rPr>
                <w:sz w:val="21"/>
                <w:szCs w:val="21"/>
                <w:color w:val="auto"/>
              </w:rPr>
            </w:pP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(1,692 )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(1,692 )</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(75,840 )</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(53,426 )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(692,795 )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6"/>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-4177030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-4177030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-4177030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-4177030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-2934335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-2934335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-2934335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-2934335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-2299970</wp:posOffset>
            </wp:positionV>
            <wp:extent cx="768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-2299970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-2299970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-2299970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-1665605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-1648460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-1665605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-1648460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-1665605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-1648460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-1665605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-1648460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for the three months ended September 30, 2024, compared to the same period in 2023, was due to increased volume of clinical oncology tests performed in Genomics and increased data deliveries in our Data and Services product line.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increase in Genomics revenue for the three months ended September 30, 2024, compared to the same period in 2023, was primarily due to an increase in the number of oncology NGS tests, which increased from approximately 55,700 tests for the three months ended September 30, 2023 to approximately 69,000 tests for the three months ended September 30, 2024. Also contributing to the increase was the release of $1.2 million for the three months ended September 30, 2024 on a revenue reserve recorded for risks of future reversal of consideration associated with certain government payers, as the risk period the reserve covered has begun to lapse, as compared to an increase of $2.6 million on the same reserve for the three months ended September 30, 2023.</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increase in Data and services revenue for the three months ended September 30, 2024, compared to the same period in 2023, was driven primarily by $23.3 million from increased demand for our Insights products. Across all Data and services products, the increase in revenue in the three months ended September 30, 2024 is primarily attributable to continued growth from within our existing customer base, as well as adoption of our services by new customers that did not purchase services in the three months ended September 30, 2023.</w:t>
      </w:r>
    </w:p>
    <w:p>
      <w:pPr>
        <w:spacing w:after="0" w:line="1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35" w:right="27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5"/>
          </w:tcPr>
          <w:p>
            <w:pPr>
              <w:jc w:val="right"/>
              <w:ind w:right="837"/>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5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75,090</w:t>
            </w:r>
          </w:p>
        </w:tc>
        <w:tc>
          <w:tcPr>
            <w:tcW w:w="26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for the three months ended September 30, 2024, compared to the same period in 2023, was primarily due to $2.0 million of stock-based compensation expenses related to RSUs for which the performance-based vesting condition was satisfied in connection with our IPO, and increases of $8.9 million in material and service costs.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Genomics for the three months ended September 30, 2024, compared to the same period in 2023, was primarily due to $1.1 million of stock-based compensation expense related to RSUs for which the performance-based vesting condition was satisfied in connection with our IPO, and increases of $8.9 million in material and service costs.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decrease in Cost of revenues, Data and services for the three months ended September 30, 2024, compared to the same period in 2023, was not material.</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4"/>
          </w:tcPr>
          <w:p>
            <w:pPr>
              <w:jc w:val="center"/>
              <w:ind w:right="6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increase in Technology research and development expenses for the three months ended September 30, 2024, compared to the same period in 2023, was primarily due to $3.9 million of stock-based compensation expense related to RSUs for which the performance-based vesting condition was satisfied in connection with our IPO, and an increase of $2.4 million in personnel-related costs associated with the investment in our cloud infrastructure and new lines of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4"/>
          </w:tcPr>
          <w:p>
            <w:pPr>
              <w:jc w:val="center"/>
              <w:ind w:right="6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September 30, 2024, compared to the same period in 2023, was primarily due to $2.6 million of stock-based compensation expense related to RSUs for which the performance-based vesting condition was satisfied in connection with our IPO, and an increase of $1.4 million in personnel-related costs for employees in our research and development group.</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2"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4"/>
          </w:tcPr>
          <w:p>
            <w:pPr>
              <w:jc w:val="center"/>
              <w:ind w:right="6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three months ended September 30, 2024, compared to the same period in 2023, was primarily due to $12.6 million of stock-based compensation expense related to RSUs for which the performance-based vesting condition was satisfied in connection with our IPO, increases of $7.9 million in personnel-related costs and $3.0 million in software and tools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gridSpan w:val="4"/>
          </w:tcPr>
          <w:p>
            <w:pPr>
              <w:jc w:val="center"/>
              <w:ind w:right="66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4,789</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months ended September 30, 2024, compared to the same period in 2023, was primarily due to higher cash on hand as of September 30, 2024 as compared to September 30, 2023.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gridSpan w:val="6"/>
          </w:tcPr>
          <w:p>
            <w:pPr>
              <w:jc w:val="center"/>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(13,761 )  $</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(12,342 )  $</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(1,419 )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September 30, 2024, compared to the same period in 2023, was primarily driven by compounding interest on our Amended Note.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4"/>
          </w:tcPr>
          <w:p>
            <w:pPr>
              <w:jc w:val="center"/>
              <w:ind w:right="6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(11,522 )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(13,809 )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change in Other (expense) income, net for the three months ended September 30, 2024, compared to the same period in 2023, was primarily driven by a $45.6 million increase in expense related to the change in fair value of our warrant liability, offset by a $2.6 million increase in income related to unrealized gains on marketable equity securities, a $26.0 million increase in income due to gains related to the change in fair value of our warrant asset, and $4.0 in income from the Intellectual Property Agreement, or the IP License Agreement, with SB Tempus.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98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60" w:type="dxa"/>
            <w:vAlign w:val="bottom"/>
            <w:gridSpan w:val="6"/>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9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(38 )  $</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(65 )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657"/>
        </w:trPr>
        <w:tc>
          <w:tcPr>
            <w:tcW w:w="3740" w:type="dxa"/>
            <w:vAlign w:val="bottom"/>
          </w:tcPr>
          <w:p>
            <w:pPr>
              <w:spacing w:after="0"/>
              <w:rPr>
                <w:sz w:val="24"/>
                <w:szCs w:val="24"/>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35" w:right="27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8"/>
          <w:szCs w:val="18"/>
          <w:color w:val="auto"/>
        </w:rPr>
        <w:t>The decrease in provision for income taxes for the three months ended September 30, 2024, compared to the same period in 2023, was not material.</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4"/>
          </w:tcPr>
          <w:p>
            <w:pPr>
              <w:jc w:val="center"/>
              <w:ind w:right="4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(1,692 )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(1,692 )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increase in losses from equity method investments for the three months ended September 30, 2024, compared to the same period in 2023, was due to the losses from the joint venture we entered into in July 2024 (see Note 7 to our unaudited condensed consolidated financial statements included elsewhere in this Quarterly Report on Form 10-Q).</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5"/>
          </w:tcPr>
          <w:p>
            <w:pPr>
              <w:jc w:val="right"/>
              <w:ind w:right="837"/>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Genomics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331,315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270,797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and services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48,102</w:t>
            </w:r>
          </w:p>
        </w:tc>
        <w:tc>
          <w:tcPr>
            <w:tcW w:w="2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492,718</w:t>
            </w:r>
          </w:p>
        </w:tc>
        <w:tc>
          <w:tcPr>
            <w:tcW w:w="26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108,620</w:t>
            </w: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for the nine months ended September 30, 2024, compared to the same period in 2023, was due to increased volume and reimbursement of clinical oncology tests performed in Genomics and increased data deliveries in our Data and Services product line.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increase in Genomics revenue for the nine months ended September 30, 2024, compared to the same period in 2023, was primarily due to an increase in the number of oncology NGS tests, which increased from approximately 159,400 tests for the nine months ended September 30, 2023 to approximately 198,200 tests for the nine months ended September 30, 2024. Also contributing to the increase was the release of $2.4 million for the nine months ended September 30, 2024 on a revenue reserve recorded for risks of future reversal of consideration associated with certain government payers, as the risk period the reserve covered has begun to lapse, as compared to an increase of $7.1 million on the same reserve for the nine months ended September 30, 2023.</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increase in Data and services revenue for the nine months ended September 30, 2024, compared to the same period in 2023, was driven primarily by $43.4 million from increased demand for our Insights products. Across all Data and services products, the increase in revenue in the nine months ended September 30, 2024 is primarily attributable to continued growth from within our existing customer base, as well as adoption of our services by new customers that did not purchase services in the nine months ended September 30, 2023.</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9" w:right="27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5"/>
          </w:tcPr>
          <w:p>
            <w:pPr>
              <w:jc w:val="right"/>
              <w:ind w:right="837"/>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5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2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233,669</w:t>
            </w:r>
          </w:p>
        </w:tc>
        <w:tc>
          <w:tcPr>
            <w:tcW w:w="26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54,198</w:t>
            </w: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for the nine months ended September 30, 2024, compared to the same period in 2023, was primarily due to $20.5 million of stock-based compensation expense related to RSUs for which the performance-based vesting condition was satisfied in connection with our IPO, an increase of $16.4 million in material and service costs, $6.6 million in personnel costs, and $3.7 million in cloud expenses.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Genomics for the nine months ended September 30, 2024, compared to the same period in 2023, was primarily due to $12.4 million of stock-based compensation expense related to RSUs for which the performance-based vesting condition was satisfied in connection with our IPO, an increase of $16.4 million in material and service costs, $6.9 million in personnel costs and $1.5 million in cloud expenses.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Data and services for the nine months ended September 30, 2024, compared to the same period in 2023, was primarily due to $8.1 million of stock-based compensation expense related to RSUs for which the performance-based vesting condition was satisfied in connection with our IPO, as well as an increase of $2.2 million in cloud expenses.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tcPr>
          <w:p>
            <w:pPr>
              <w:jc w:val="center"/>
              <w:ind w:right="8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increase in Technology research and development expenses for the nine months ended September 30, 2024, compared to the same period in 2023, was primarily due to $54.4 million of stock-based compensation expenses related to RSUs for which the performance-based vesting condition was satisfied in connection with our IPO, $1.4 million in taxes related to the settlement of RSUs, and an increase of $9.4 million in personnel-related costs associated with the investment in our cloud infrastructure and new lines of business.</w:t>
      </w:r>
    </w:p>
    <w:p>
      <w:pPr>
        <w:spacing w:after="0" w:line="200" w:lineRule="exact"/>
        <w:rPr>
          <w:sz w:val="20"/>
          <w:szCs w:val="20"/>
          <w:color w:val="auto"/>
        </w:rPr>
      </w:pP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tcPr>
          <w:p>
            <w:pPr>
              <w:jc w:val="center"/>
              <w:ind w:right="8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119,713</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nine months ended September 30, 2024, compared to the same period in 2023, was primarily due to $44.8 million of stock-based compensation expenses related to RSUs for which the performance-based vesting condition was satisfied in connection with our IPO, and increases of $2.2 million in validation and regulatory fees and $5.3 million in personnel-related costs for employees in our research and development group.</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32" w:right="27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tcPr>
          <w:p>
            <w:pPr>
              <w:jc w:val="center"/>
              <w:ind w:right="8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644,063</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432,401</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nine months ended September 30, 2024, compared to the same period in 2023, was primarily due to $389.6 million of stock-based compensation expenses related to RSUs for which the performance-based vesting condition was satisfied in connection with our IPO, $3.4 million in taxes related to the settlement of RSUs, and increases of $17.1 million in personnel-related costs, $6.2 million in software and tools costs, and $3.9 million in cloud storage costs.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gridSpan w:val="4"/>
          </w:tcPr>
          <w:p>
            <w:pPr>
              <w:jc w:val="center"/>
              <w:ind w:right="66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7,538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nine months ended September 30, 2024, compared to the same period in 2023, increased primarily due to higher cash on hand as of September 30, 2024 compared to September 30, 2023.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6"/>
          </w:tcPr>
          <w:p>
            <w:pPr>
              <w:jc w:val="center"/>
              <w:ind w:right="580"/>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(40,294 )  $</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(33,245 )  $</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(7,049 )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nine months ended September 30, 2024, compared to the same period in 2023, was primarily driven by compounding interest on our Amended Note and additional debt entered into under our Term Loan Facility in April and October 2023.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4"/>
          </w:tcPr>
          <w:p>
            <w:pPr>
              <w:jc w:val="center"/>
              <w:ind w:right="8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(17,821 )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(25,730 )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change in Other (expense) income, net for the nine months ended September 30, 2024, compared to the same period in 2023, was primarily driven by a $50.4 million increase in expense related to the change in fair value of our warrant liability and a $2.3 million expense for the G-4 Special Payment. The increase in expense was offset by $5.1 million in income related to gains on marketable equity securities, a $18.3 increase in income due to the change in fair value of our warrant asset, and $4.0 in income from the IP License Agreement with SB Tempus.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98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0" w:type="dxa"/>
            <w:vAlign w:val="bottom"/>
            <w:gridSpan w:val="6"/>
          </w:tcPr>
          <w:p>
            <w:pPr>
              <w:jc w:val="center"/>
              <w:ind w:right="1200"/>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6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(144 )  $</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(74 )  $</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657"/>
        </w:trPr>
        <w:tc>
          <w:tcPr>
            <w:tcW w:w="3740" w:type="dxa"/>
            <w:vAlign w:val="bottom"/>
          </w:tcPr>
          <w:p>
            <w:pPr>
              <w:spacing w:after="0"/>
              <w:rPr>
                <w:sz w:val="24"/>
                <w:szCs w:val="24"/>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334" w:right="27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8"/>
          <w:szCs w:val="18"/>
          <w:color w:val="auto"/>
        </w:rPr>
        <w:t>The increase in provision for income taxes for the nine months ended September 30, 2024, compared to the same period in 2023, was not material.</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6"/>
          </w:tcPr>
          <w:p>
            <w:pPr>
              <w:jc w:val="center"/>
              <w:ind w:right="580"/>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(1,692 )  $</w:t>
            </w: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(301 )  $</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(1,391 )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increase in losses from equity method investments for the nine months ended September 30, 2024, compared to the same period in 2023, was due to the losses from the joint venture we entered into in July 2024 (see Note 7 to our unaudited condensed consolidated financial statements included elsewhere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w:t>
      </w:r>
    </w:p>
    <w:p>
      <w:pPr>
        <w:spacing w:after="0" w:line="176"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We define adjusted EBITDA as net income (loss), adjusted to exclude (i) interest income, (ii) interest expense, (iii) depreciation and amortization, (iv) provision for (benefit from)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w:t>
      </w:r>
    </w:p>
    <w:p>
      <w:pPr>
        <w:spacing w:after="0" w:line="3" w:lineRule="exact"/>
        <w:rPr>
          <w:sz w:val="20"/>
          <w:szCs w:val="20"/>
          <w:color w:val="auto"/>
        </w:rPr>
      </w:pPr>
    </w:p>
    <w:p>
      <w:pPr>
        <w:ind w:right="80" w:firstLine="8"/>
        <w:spacing w:after="0" w:line="251" w:lineRule="auto"/>
        <w:tabs>
          <w:tab w:leader="none" w:pos="3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G-4 Special Payment, and (x) amortization of deferred other income from our IP License Agreement with SB Tempus.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w:t>
      </w:r>
    </w:p>
    <w:p>
      <w:pPr>
        <w:spacing w:after="0" w:line="19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cash available to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change in fair value of warrant liabilities, contingent consideration and warrant asset.</w:t>
      </w:r>
    </w:p>
    <w:p>
      <w:pPr>
        <w:spacing w:after="0" w:line="225"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9" w:right="27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adjusted EBITDA, along with net loss, the most directly comparable GAAP measure, for each period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58"/>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5"/>
          </w:tcPr>
          <w:p>
            <w:pPr>
              <w:jc w:val="right"/>
              <w:ind w:right="1180"/>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(75,840 )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(53,426 )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(692,795 )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(163,635 )</w:t>
            </w: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(4,789 )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(1,483 )</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(7,538 )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(5,864 )</w:t>
            </w: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(57,390 )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(34,178 )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(632,107 )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(111,671 )</w:t>
            </w: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on equity method investments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(2,028 )</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(7,728 )</w:t>
            </w: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509,351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Employer payroll tax related to stock-based</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G-4 Special Payment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(3,989 )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(3,989 )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(21,843 )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(36,206 )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(96,955 )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(119,098 )</w:t>
            </w: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460" w:hanging="512"/>
        <w:spacing w:after="0" w:line="223" w:lineRule="auto"/>
        <w:tabs>
          <w:tab w:leader="none" w:pos="5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September 30, 2024, we had an accumulated deficit of $2.1 billion.</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term debt, and sales of our products. As of September 30, 2024, we had cash, cash equivalents and restricted cash of $388.9 million. In April 2024, we sold an aggregate of 3,489,981 shares of our Series G-5 convertible preferred stock at a price per share of $57.3069, for an aggregate purchase price of approximately $200.0 million in a private placement to an accredited investor. In June 2024, we completed our IPO, which resulted in net proceeds of $382.0 million after deducting underwriting discounts and commissions of $28.7 million.</w:t>
      </w:r>
    </w:p>
    <w:p>
      <w:pPr>
        <w:spacing w:after="0" w:line="183" w:lineRule="exact"/>
        <w:rPr>
          <w:sz w:val="20"/>
          <w:szCs w:val="20"/>
          <w:color w:val="auto"/>
        </w:rPr>
      </w:pPr>
    </w:p>
    <w:p>
      <w:pPr>
        <w:jc w:val="both"/>
        <w:ind w:right="120" w:firstLine="509"/>
        <w:spacing w:after="0" w:line="272" w:lineRule="auto"/>
        <w:rPr>
          <w:sz w:val="20"/>
          <w:szCs w:val="20"/>
          <w:color w:val="auto"/>
        </w:rPr>
      </w:pPr>
      <w:r>
        <w:rPr>
          <w:rFonts w:ascii="Times New Roman" w:cs="Times New Roman" w:eastAsia="Times New Roman" w:hAnsi="Times New Roman"/>
          <w:sz w:val="17"/>
          <w:szCs w:val="17"/>
          <w:color w:val="auto"/>
        </w:rPr>
        <w:t>Based on our current business plan, we believe our current cash and cash equivalents, marketable equity securities and anticipated cash flows from operations, will be sufficient to meet our anticipated cash requirements for more than twelve months from the date of this Quarterly Report on Form 10-Q. We may raise additional capital to expand our business, to pursue strategic investments, to take advantage of financing opportunities or for other reasons.</w:t>
      </w:r>
    </w:p>
    <w:p>
      <w:pPr>
        <w:spacing w:after="0" w:line="2"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Quarterly Report on Form 10-Q,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7" w:name="page48"/>
    <w:bookmarkEnd w:id="47"/>
    <w:p>
      <w:pPr>
        <w:ind w:right="240"/>
        <w:spacing w:after="0" w:line="282" w:lineRule="auto"/>
        <w:rPr>
          <w:sz w:val="20"/>
          <w:szCs w:val="20"/>
          <w:color w:val="auto"/>
        </w:rPr>
      </w:pPr>
      <w:r>
        <w:rPr>
          <w:rFonts w:ascii="Times New Roman" w:cs="Times New Roman" w:eastAsia="Times New Roman" w:hAnsi="Times New Roman"/>
          <w:sz w:val="18"/>
          <w:szCs w:val="18"/>
          <w:color w:val="auto"/>
        </w:rPr>
        <w:t>may not be available to us on reasonable terms, or at all. The failure to obtain any required future financing may require us to reduce or eliminate certain existing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September 22, 2022, we entered into a Credit Agreement with Ares Capital Corporation, or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Terms of the second amendment are consistent with those of the first amendment. Interest on the Term Loan Facility is payable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 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us and secured by substantially all of our assets. We have the right at any time and from time to time to prepay any Term Loan Facility in whole or in part.</w:t>
      </w:r>
    </w:p>
    <w:p>
      <w:pPr>
        <w:spacing w:after="0" w:line="187"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we are required to generate consolidated revenues of $459.1 million and $594.1 million, respectively. We were in compliance with the covenants of the Credit Agreement as of September 30, 2024.</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condensed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58"/>
        </w:trPr>
        <w:tc>
          <w:tcPr>
            <w:tcW w:w="7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center"/>
              <w:ind w:left="660"/>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(149,794 )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(174,072 )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(122,430 )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(34,768 )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494,508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38,661</w:t>
            </w:r>
          </w:p>
        </w:tc>
        <w:tc>
          <w:tcPr>
            <w:tcW w:w="100" w:type="dxa"/>
            <w:vAlign w:val="bottom"/>
            <w:shd w:val="clear" w:color="auto" w:fill="CFF0FC"/>
          </w:tcPr>
          <w:p>
            <w:pPr>
              <w:spacing w:after="0"/>
              <w:rPr>
                <w:sz w:val="21"/>
                <w:szCs w:val="21"/>
                <w:color w:val="auto"/>
              </w:rPr>
            </w:pP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2024 was $149.8 million, which resulted from a net loss of $692.8 million and a net change in our operating assets and liabilities of $31.7 million, offset by non-cash charges of $574.7 million. Non-cash charges primarily consisted of $509.4 million of stock-based compensation, a $42.4 million increase in the fair value of the warrant liability, and $27.8 million of depreciation and amortization, offset by an increase in the fair value of the warrant asset of $18.3 million. The net change in our operating assets and liabilities was primarily the result of a $51.7 million increase in accounts receivable due to increased sales and timing of customer payments, a decrease in accounts payable of $24.8 million, and an increase in prepaid expenses and other current assets of $14.0 million, offset by a $43.9 million increase in deferred other income related to the IP License Agreement with SB Tempus, a $23.4 million increase in accrued expenses and other, primarily due to increased cloud spend and payroll taxes from RSU settlements, and an increase in interest payable of $11.2 million as we continue to accrue interest on our Amended Note.</w:t>
      </w:r>
    </w:p>
    <w:p>
      <w:pPr>
        <w:spacing w:after="0" w:line="18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2023 was $174.1 million, which resulted from a net loss of $163.6 million and a net change in our operating assets and liabilities of $49.6 million, offset by non-cash charges of $39.2 million. Non-cash charges primarily consisted of $24.5 million of depreciation and amortization, $5.1 million of non-cash operating lease costs, amortization of the warrant contract asset of $5.0 million, $7.4 million of impairment of intangible assets, and a decrease in the fair value of the warrant liability of $8.0 million. The net change in our operating assets and liabilities was primarily the result of a $25.4 million increase in accounts receivable, and a $16.6 million decrease in deferred revenue.</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2024 was $122.4 million, which was the result of the investment in the joint venture in July 2024 of $95.2 million, purchases of marketable equity securities of $36.2 million, and purchases of property and equipment of $14.2 million, offset by proceeds from the sale of marketable equity securities of $23.1 million.</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2023 was $34.8 million, which was the result of purchases of property and equipment of $31.9 million, which related primarily to the expansion of our Chicago office for additional laboratory space.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2024 was $494.5 million, which was the result of proceeds from the issuance of common stock in connection with our IPO, net of underwriting discounts and commissions of $382.0 million, and the issuance of Series G-5 Preferred Stock of $199.8 million, offset by $8.6 million of payments of deferred offering costs, $5.6 million of dividend payments, and $69.9 million of taxes paid related to the net settlement of a portion of the RSUs outstanding as of June 1, 2024 for which the service-based vesting condition was satisfied before June 14, 2024 and for which the performance-based vesting condition was satisfied in connection with the IPO, or the RSU Net Settlement.</w:t>
      </w:r>
    </w:p>
    <w:p>
      <w:pPr>
        <w:spacing w:after="0" w:line="18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2023 was $38.7 million, which was primarily due to proceeds from long-term debt, net of original issue discount of $48.8 million, offset by $5.6 million of dividend payments, and $3.6 million in purchase of treasury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prepared our condensed consolidated financial statements in accordance with generally accepted accounting principles in the United States, or GAAP. Our preparation of these condensed consolidated financial statements requires us to make estimates, assumptions and judgments that affect the reported amounts of assets, liabilities, expenses and related disclosures at the date of the condensed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described in the Final Prospectus, except as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7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issue RSUs to certain of our employees. The general terms of the RSUs issued under our 2015 Plan require both a service and performance condition to be satisfied prior to vesting. RSUs issued under our 2024 Plan are subject only to a service condition. The service condition is satisfied upon the participant’s completion of a required period of continuous service from the vesting start date. The performance condition applicable to our 2015 Plan was satisfied upon a liquidity event, which occurred when we completed our IPO in June 2024, and resulted in recognition of stock-based compensation expense of $21.0 million and $509.4 million during the three and nine months ended September 30, 2024,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condensed consolidated financial statements included elsewhere in this Quarterly Report on Form 10-Q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condensed consolidated financial statements with another public company which is neither an emerging growth company nor 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0" w:name="page51"/>
    <w:bookmarkEnd w:id="50"/>
    <w:p>
      <w:pPr>
        <w:ind w:right="560"/>
        <w:spacing w:after="0" w:line="282" w:lineRule="auto"/>
        <w:rPr>
          <w:sz w:val="20"/>
          <w:szCs w:val="20"/>
          <w:color w:val="auto"/>
        </w:rPr>
      </w:pPr>
      <w:r>
        <w:rPr>
          <w:rFonts w:ascii="Times New Roman" w:cs="Times New Roman" w:eastAsia="Times New Roman" w:hAnsi="Times New Roman"/>
          <w:sz w:val="18"/>
          <w:szCs w:val="18"/>
          <w:color w:val="auto"/>
        </w:rPr>
        <w:t>emerging growth company which has opted out of using the extended transition period difficult or impossible because of the potential differences in accounting standards used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had cash, cash equivalents and restricted cash of $388.9 million held primarily in cash deposits and money market funds.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September 30, 2024,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September 30, 2024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principal executive officer and principal financial officer have concluded that these disclosure controls and procedures were effective at a reasonable assurance level as of September 30, 2024.</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have materially affected, or is reasonably likely to materially affect, our internal control over financial reporting.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t>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120" w:right="79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While we believe its programs and payments comply with the Anti-Kickback statute,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Tempus to patients enrolled in the Medicare and Medicaid programs. We have responded to all such requests for information.</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June 11, 2024,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including claims and legal actions arising in the ordinary course of business, are recorded as liabilities when the likelihood of loss is probable and an amount or range of loss can be reasonably estimated.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described below as well as the other information in this Quarterly Report on Form 10-Q, including our condensed consolidated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Class A common stock could decline, and you may lose all or part of your investment.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more fully below in this Quarterly Report on Form 10-Q. The following is a summary of principal risks and uncertainties that could materially adversely affect our business, financial condition, and results of operations. This summary should be read in conjunction with the rest of Item 1A. Risk Factors and should not be relied upon as an exhaustive summary of the material risks and uncertainties facing our business.</w:t>
      </w:r>
    </w:p>
    <w:p>
      <w:pPr>
        <w:spacing w:after="0" w:line="70" w:lineRule="exact"/>
        <w:rPr>
          <w:sz w:val="20"/>
          <w:szCs w:val="20"/>
          <w:color w:val="auto"/>
        </w:rPr>
      </w:pPr>
    </w:p>
    <w:p>
      <w:pPr>
        <w:ind w:left="1020" w:right="56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inception, we may continue to incur losses in the future, and we may not be able to generate sufficient revenue to achieve and maintain profitability.</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current or future products may not achieve or maintain sufficient commercial market acceptance.</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success of our business depends on our continued access to, and ability to monetize, de-identified patient data.</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limited operating history and rapid growth make it difficult to evaluate our future prospects and the risks and challenges we may encounter.</w:t>
      </w:r>
    </w:p>
    <w:p>
      <w:pPr>
        <w:spacing w:after="0" w:line="50" w:lineRule="exact"/>
        <w:rPr>
          <w:rFonts w:ascii="Times New Roman" w:cs="Times New Roman" w:eastAsia="Times New Roman" w:hAnsi="Times New Roman"/>
          <w:sz w:val="18"/>
          <w:szCs w:val="18"/>
          <w:color w:val="auto"/>
        </w:rPr>
      </w:pPr>
    </w:p>
    <w:p>
      <w:pPr>
        <w:ind w:left="1020" w:right="22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need to raise additional capital to fund our existing operations, develop our Platform, commercialize new products or expand our operations.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AI Applications product line is nascent.</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50" w:lineRule="exact"/>
        <w:rPr>
          <w:rFonts w:ascii="Times New Roman" w:cs="Times New Roman" w:eastAsia="Times New Roman" w:hAnsi="Times New Roman"/>
          <w:sz w:val="18"/>
          <w:szCs w:val="18"/>
          <w:color w:val="auto"/>
        </w:rPr>
      </w:pPr>
    </w:p>
    <w:p>
      <w:pPr>
        <w:ind w:left="1020" w:right="80" w:hanging="503"/>
        <w:spacing w:after="0" w:line="26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65"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or maintain adequate reimbursement for our Genomics product line outside of the United States, our ability to expand internationally will be compromised.</w:t>
      </w:r>
    </w:p>
    <w:p>
      <w:pPr>
        <w:spacing w:after="0" w:line="50" w:lineRule="exact"/>
        <w:rPr>
          <w:rFonts w:ascii="Times New Roman" w:cs="Times New Roman" w:eastAsia="Times New Roman" w:hAnsi="Times New Roman"/>
          <w:sz w:val="18"/>
          <w:szCs w:val="18"/>
          <w:color w:val="auto"/>
        </w:rPr>
      </w:pPr>
    </w:p>
    <w:p>
      <w:pPr>
        <w:ind w:left="1020" w:right="48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Labor relations matters could have a material adverse effect on our business, reputation, prospects, results of operations and financial condition.</w:t>
      </w:r>
    </w:p>
    <w:p>
      <w:pPr>
        <w:spacing w:after="0" w:line="50"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use AI in our products and services which may result in operational challenges, legal liability, reputational concerns and competitive risks.</w:t>
      </w:r>
    </w:p>
    <w:p>
      <w:pPr>
        <w:spacing w:after="0" w:line="50"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cannot compete successfully with our competitors, we may be unable to increase or sustain our revenue or to achieve and then sustain profitability.</w:t>
      </w:r>
    </w:p>
    <w:p>
      <w:pPr>
        <w:spacing w:after="0" w:line="50" w:lineRule="exact"/>
        <w:rPr>
          <w:rFonts w:ascii="Times New Roman" w:cs="Times New Roman" w:eastAsia="Times New Roman" w:hAnsi="Times New Roman"/>
          <w:sz w:val="18"/>
          <w:szCs w:val="18"/>
          <w:color w:val="auto"/>
        </w:rPr>
      </w:pPr>
    </w:p>
    <w:p>
      <w:pPr>
        <w:ind w:left="1020" w:right="60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industries in which we operate are subject to rapid change, which could make our Platform, our current products and any future products we may develop obsolete.</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existing and any future debt may affect our flexibility in operating and developing our business and our ability to satisfy our obligations.</w:t>
      </w:r>
    </w:p>
    <w:p>
      <w:pPr>
        <w:spacing w:after="0" w:line="128" w:lineRule="exact"/>
        <w:rPr>
          <w:rFonts w:ascii="Times New Roman" w:cs="Times New Roman" w:eastAsia="Times New Roman" w:hAnsi="Times New Roman"/>
          <w:sz w:val="17"/>
          <w:szCs w:val="17"/>
          <w:color w:val="auto"/>
        </w:rPr>
      </w:pPr>
    </w:p>
    <w:p>
      <w:pPr>
        <w:ind w:left="1020" w:right="4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50" w:lineRule="exact"/>
        <w:rPr>
          <w:rFonts w:ascii="Times New Roman" w:cs="Times New Roman" w:eastAsia="Times New Roman" w:hAnsi="Times New Roman"/>
          <w:sz w:val="18"/>
          <w:szCs w:val="18"/>
          <w:color w:val="auto"/>
        </w:rPr>
      </w:pPr>
    </w:p>
    <w:p>
      <w:pPr>
        <w:ind w:left="1020" w:right="20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 of our business exposes us to business, regulatory, political, operational, financial, and economic risks associated with doing business outside of the United States.</w:t>
      </w:r>
    </w:p>
    <w:p>
      <w:pPr>
        <w:spacing w:after="0" w:line="50" w:lineRule="exact"/>
        <w:rPr>
          <w:rFonts w:ascii="Times New Roman" w:cs="Times New Roman" w:eastAsia="Times New Roman" w:hAnsi="Times New Roman"/>
          <w:sz w:val="18"/>
          <w:szCs w:val="18"/>
          <w:color w:val="auto"/>
        </w:rPr>
      </w:pPr>
    </w:p>
    <w:p>
      <w:pPr>
        <w:ind w:left="1020" w:right="80" w:hanging="503"/>
        <w:spacing w:after="0" w:line="267"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65" w:lineRule="exact"/>
        <w:rPr>
          <w:rFonts w:ascii="Times New Roman" w:cs="Times New Roman" w:eastAsia="Times New Roman" w:hAnsi="Times New Roman"/>
          <w:sz w:val="18"/>
          <w:szCs w:val="18"/>
          <w:color w:val="auto"/>
        </w:rPr>
      </w:pPr>
    </w:p>
    <w:p>
      <w:pPr>
        <w:ind w:left="1020" w:right="48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50" w:lineRule="exact"/>
        <w:rPr>
          <w:rFonts w:ascii="Times New Roman" w:cs="Times New Roman" w:eastAsia="Times New Roman" w:hAnsi="Times New Roman"/>
          <w:sz w:val="18"/>
          <w:szCs w:val="18"/>
          <w:color w:val="auto"/>
        </w:rPr>
      </w:pPr>
    </w:p>
    <w:p>
      <w:pPr>
        <w:ind w:left="1020" w:right="740" w:hanging="503"/>
        <w:spacing w:after="0" w:line="284"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of our tests are currently marketed as LDTs, and future changes in FDA enforcement discretion for LDTs could subject our operations to much more significant regulatory requirements.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54" w:name="page55"/>
    <w:bookmarkEnd w:id="54"/>
    <w:p>
      <w:pPr>
        <w:ind w:left="1020" w:hanging="503"/>
        <w:spacing w:after="0" w:line="267"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65" w:lineRule="exact"/>
        <w:rPr>
          <w:rFonts w:ascii="Times New Roman" w:cs="Times New Roman" w:eastAsia="Times New Roman" w:hAnsi="Times New Roman"/>
          <w:sz w:val="18"/>
          <w:szCs w:val="18"/>
          <w:color w:val="auto"/>
        </w:rPr>
      </w:pPr>
    </w:p>
    <w:p>
      <w:pPr>
        <w:ind w:left="1020" w:right="100" w:hanging="503"/>
        <w:spacing w:after="0" w:line="267"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 including our pending acquisition of Ambry.</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65" w:lineRule="exact"/>
        <w:rPr>
          <w:rFonts w:ascii="Times New Roman" w:cs="Times New Roman" w:eastAsia="Times New Roman" w:hAnsi="Times New Roman"/>
          <w:sz w:val="18"/>
          <w:szCs w:val="18"/>
          <w:color w:val="auto"/>
        </w:rPr>
      </w:pPr>
    </w:p>
    <w:p>
      <w:pPr>
        <w:jc w:val="both"/>
        <w:ind w:left="1020" w:right="340" w:hanging="503"/>
        <w:spacing w:after="0" w:line="267"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65"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dual class structure of our common stock has the effect of concentrating voting control with our Chief Executive Officer, Founder and Chairman, which will limit your ability to influence the outcome of important decisions.</w:t>
      </w:r>
    </w:p>
    <w:p>
      <w:pPr>
        <w:spacing w:after="0" w:line="50"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incurred substantial tax withholding and remittance obligations in conjunction with our IPO and anticipate incurring additional substantial federal and state tax withholding and remittance obligations in connection with the continuing settlement of RSUs that vested in connection with the offering. The manner in which we fund these tax liabilities may have an adverse effect on our financial condition.</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stock price may be volatile, and the value of our Class A common stock may decline.</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50" w:lineRule="exact"/>
        <w:rPr>
          <w:rFonts w:ascii="Times New Roman" w:cs="Times New Roman" w:eastAsia="Times New Roman" w:hAnsi="Times New Roman"/>
          <w:sz w:val="18"/>
          <w:szCs w:val="18"/>
          <w:color w:val="auto"/>
        </w:rPr>
      </w:pPr>
    </w:p>
    <w:p>
      <w:pPr>
        <w:ind w:left="1020" w:right="52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17" w:lineRule="exact"/>
        <w:rPr>
          <w:sz w:val="20"/>
          <w:szCs w:val="20"/>
          <w:color w:val="auto"/>
        </w:rPr>
      </w:pPr>
    </w:p>
    <w:p>
      <w:pPr>
        <w:ind w:left="5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5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losses since our inception. For the years ended December 31, 2023 and 2022, and the nine months ended September 30, 2024 and 2023, we incurred net losses of $214.1 million, $289.8 million, $692.8 million and $163.6 million, respectively. As of September 30, 2024, we had an accumulated deficit of $2.1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or certification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8" w:right="37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75" w:lineRule="exact"/>
        <w:rPr>
          <w:sz w:val="20"/>
          <w:szCs w:val="20"/>
          <w:color w:val="auto"/>
        </w:rPr>
      </w:pPr>
    </w:p>
    <w:p>
      <w:pPr>
        <w:ind w:left="1020" w:right="3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53"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scope of obtaining any necessary approvals or certification by regulatory authorities, including the FDA, for our diagnostic tests, any software offerings, AI Applications, or any features of our Platform, in each case, that may be subject to regulatory oversight;</w:t>
      </w:r>
    </w:p>
    <w:p>
      <w:pPr>
        <w:spacing w:after="0" w:line="31" w:lineRule="exact"/>
        <w:rPr>
          <w:rFonts w:ascii="Times New Roman" w:cs="Times New Roman" w:eastAsia="Times New Roman" w:hAnsi="Times New Roman"/>
          <w:sz w:val="17"/>
          <w:szCs w:val="17"/>
          <w:color w:val="auto"/>
        </w:rPr>
      </w:pPr>
    </w:p>
    <w:p>
      <w:pPr>
        <w:ind w:left="1020" w:right="4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 or comparable foreign programs;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 identified patient information and increasing the utility of our product offerings;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neuropsychiatry, cardiology, radiology, and other indications;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robust data sets with respect to patient populations in geographic regions that we may seek to enter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0" w:lineRule="exact"/>
        <w:rPr>
          <w:sz w:val="20"/>
          <w:szCs w:val="20"/>
          <w:color w:val="auto"/>
        </w:rPr>
      </w:pPr>
    </w:p>
    <w:p>
      <w:pPr>
        <w:ind w:left="5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 term focus. These fluctuations may occur due to a variety of factors, many of which are outside of our control, including, but not limited to:</w:t>
      </w:r>
    </w:p>
    <w:p>
      <w:pPr>
        <w:spacing w:after="0" w:line="68" w:lineRule="exact"/>
        <w:rPr>
          <w:sz w:val="20"/>
          <w:szCs w:val="20"/>
          <w:color w:val="auto"/>
        </w:rPr>
      </w:pPr>
    </w:p>
    <w:p>
      <w:pPr>
        <w:ind w:left="1020" w:right="6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or certification and commercialization activities relating to our Platform and products,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and Services products are utilized;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6" w:name="page57"/>
    <w:bookmarkEnd w:id="56"/>
    <w:p>
      <w:pPr>
        <w:ind w:left="1020" w:right="1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certifications or applications;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conflicts between Russia and Ukraine and the hostilities in the Middle East), terrorism, and political unrest, epidemics or pandemics, boycotts, curtailment of trade and other business restrictions;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9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the demand for our Genomics and Data and Services products will depend in part upon the research and development and clinical budgets of pharmaceutical and biotechnology customers, which are impacted by factors beyond our control, such as:</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conflicts between Russia and Ukraine and the hostilities in the Middle East), the political climate and the impact of public health emergencies such as the COVID-19 pandemic, high and rising inflation rates, high interest rates, government closures of banks and liquidity concerns at other financial institutions;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7" w:name="page58"/>
    <w:bookmarkEnd w:id="57"/>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1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ONCare Alliance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8" w:name="page59"/>
    <w:bookmarkEnd w:id="58"/>
    <w:p>
      <w:pPr>
        <w:ind w:right="100"/>
        <w:spacing w:after="0" w:line="256" w:lineRule="auto"/>
        <w:rPr>
          <w:sz w:val="20"/>
          <w:szCs w:val="20"/>
          <w:color w:val="auto"/>
        </w:rPr>
      </w:pPr>
      <w:r>
        <w:rPr>
          <w:rFonts w:ascii="Times New Roman" w:cs="Times New Roman" w:eastAsia="Times New Roman" w:hAnsi="Times New Roman"/>
          <w:sz w:val="18"/>
          <w:szCs w:val="18"/>
          <w:color w:val="auto"/>
        </w:rPr>
        <w:t>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63% and 46% of our revenue in the years ended December 31, 2023 and 2022, respectively. We cannot assure that our oncology tests will continue to maintain or gain market acceptance, and any failure to do so would materially harm our business, financial condition and results of operations.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and rapid growth make it difficult to evaluate our future prospects and the risks and challenges we may encounter.</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Quarterly Report on Form 10-Q.</w:t>
      </w:r>
    </w:p>
    <w:p>
      <w:pPr>
        <w:spacing w:after="0" w:line="189"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72" w:lineRule="exact"/>
        <w:rPr>
          <w:sz w:val="20"/>
          <w:szCs w:val="20"/>
          <w:color w:val="auto"/>
        </w:rPr>
      </w:pPr>
    </w:p>
    <w:p>
      <w:pPr>
        <w:ind w:left="5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Platform, commercialize new products or expand our operations.</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may need to raise additional capital in the future to expand our business, meet existing obligations, pursue acquisitions or strategic investments, or take advantage of financing opportunities or for other reasons, including to:</w:t>
      </w:r>
    </w:p>
    <w:p>
      <w:pPr>
        <w:spacing w:after="0" w:line="54" w:lineRule="exact"/>
        <w:rPr>
          <w:sz w:val="20"/>
          <w:szCs w:val="20"/>
          <w:color w:val="auto"/>
        </w:rPr>
      </w:pPr>
    </w:p>
    <w:p>
      <w:pPr>
        <w:ind w:left="1020" w:right="10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9" w:name="page60"/>
    <w:bookmarkEnd w:id="59"/>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2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limited commercialized algorithms within our AI Applications product line. Revenue generated from AI Applications is reported within our Data and Services product line and was $5.5 million and $1.4 million for the years ended December 31, 2023 and 2022, respectively, which represents 1.0% and 0.4% of our total revenue in each period, respectively. Revenue generated from AI Applications was $4.3 million and $1.8 million for the three months ended September 30, 2024 and 2023, respectively, which represents 2.4% and 1.3% of our total revenue in each period. Revenue generated from AI Applications was $7.5 million and $3.0 million for the nine months ended September 30, 2024 and 2023, respectively, which represents 1.5% and 0.8% of our total revenue in each period, respectively.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represents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w:t>
      </w:r>
    </w:p>
    <w:p>
      <w:pPr>
        <w:spacing w:after="0" w:line="301"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 validation activities that subsequently may be challenged or questioned;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developed multiple genomics diagnostics tests across oncology, infectious diseases, and neuropsychiatry,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Notified Bodies’ and other regulatory bodies’ clearances, authorizations, certifications or approvals before we can market the updated product.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1" w:name="page62"/>
    <w:bookmarkEnd w:id="61"/>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FDA’s and Notified Bodies’ clearance, authorization, approval or certification pathways are likely to require significant time and expenditures. The FDA, or other applicable regulatory authority or Notified Bodies may not clear, authorize, certify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certification,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7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66"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5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4" w:lineRule="exact"/>
        <w:rPr>
          <w:sz w:val="20"/>
          <w:szCs w:val="20"/>
          <w:color w:val="auto"/>
        </w:rPr>
      </w:pPr>
    </w:p>
    <w:p>
      <w:pPr>
        <w:ind w:left="5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 reviewed journal as a measure of success. In such journal publications, the researchers will describe not only their discoveries but also the methods and typically the products used to fuel such discoveries. Mentions in peer- 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2023, our products have been mentioned in 117 peer-reviewed articles published in major journals, including 87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2" w:name="page63"/>
    <w:bookmarkEnd w:id="62"/>
    <w:p>
      <w:pPr>
        <w:ind w:right="180"/>
        <w:spacing w:after="0" w:line="261" w:lineRule="auto"/>
        <w:rPr>
          <w:sz w:val="20"/>
          <w:szCs w:val="20"/>
          <w:color w:val="auto"/>
        </w:rPr>
      </w:pPr>
      <w:r>
        <w:rPr>
          <w:rFonts w:ascii="Times New Roman" w:cs="Times New Roman" w:eastAsia="Times New Roman" w:hAnsi="Times New Roman"/>
          <w:sz w:val="18"/>
          <w:szCs w:val="18"/>
          <w:color w:val="auto"/>
        </w:rPr>
        <w:t>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284" w:lineRule="exact"/>
        <w:rPr>
          <w:sz w:val="20"/>
          <w:szCs w:val="20"/>
          <w:color w:val="auto"/>
        </w:rPr>
      </w:pPr>
    </w:p>
    <w:p>
      <w:pPr>
        <w:ind w:left="5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94" w:lineRule="exact"/>
        <w:rPr>
          <w:sz w:val="20"/>
          <w:szCs w:val="20"/>
          <w:color w:val="auto"/>
        </w:rPr>
      </w:pPr>
    </w:p>
    <w:p>
      <w:pPr>
        <w:ind w:left="5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ind w:left="5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we had received payment on approximately 50% of our clinical oncology next generation sequencing, or NGS, tests across all payers performed from January 1, 2021 through December 31, 2022. We calculated this metric on a trailing basis based on payer adjudication timing. However, we continued to perform our NGS tests through December 31, 2023. For the years ended December 31, 2022 and 2023, our average reimbursement for NGS tests in oncology was approximately $916 and $1,452,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26% and 28% of our clinical tests were for Medicare beneficiaries in the years ended December 31, 2023 and 2022,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8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8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4" w:name="page65"/>
    <w:bookmarkEnd w:id="64"/>
    <w:p>
      <w:pPr>
        <w:spacing w:after="0" w:line="256" w:lineRule="auto"/>
        <w:rPr>
          <w:sz w:val="20"/>
          <w:szCs w:val="20"/>
          <w:color w:val="auto"/>
        </w:rPr>
      </w:pPr>
      <w:r>
        <w:rPr>
          <w:rFonts w:ascii="Times New Roman" w:cs="Times New Roman" w:eastAsia="Times New Roman" w:hAnsi="Times New Roman"/>
          <w:sz w:val="18"/>
          <w:szCs w:val="18"/>
          <w:color w:val="auto"/>
        </w:rPr>
        <w:t>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have appealed those denials. The process is typically slow and costly, and multiple levels of appeal may be required for adjudication of outstanding claims.</w:t>
      </w:r>
    </w:p>
    <w:p>
      <w:pPr>
        <w:spacing w:after="0" w:line="19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87"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xR that are ordered and billed for separately. We requested that the Local MAC add the new CPT code to the LCD, which they did effective January 1, 2023.</w:t>
      </w:r>
    </w:p>
    <w:p>
      <w:pPr>
        <w:spacing w:after="0" w:line="1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Palmetto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5" w:name="page66"/>
    <w:bookmarkEnd w:id="65"/>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64" w:lineRule="exact"/>
        <w:rPr>
          <w:sz w:val="20"/>
          <w:szCs w:val="20"/>
          <w:color w:val="auto"/>
        </w:rPr>
      </w:pPr>
    </w:p>
    <w:p>
      <w:pPr>
        <w:jc w:val="both"/>
        <w:ind w:right="220" w:firstLine="509"/>
        <w:spacing w:after="0" w:line="25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 which we operate. On May 1, 2024, CMS posted the MAC-specific payment recommendations which indicated that the codes applicable to our tests would be reimbursed at the same or a higher level than they were previously reimbursed. These recommendations are currently open for public comment and CMS will publish the final MAC- specific amounts in September. If CMS ultimately prices the new codes at lower rates than they have previously reimbursed our tests at, such pricing decision may have a significant impact on our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19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reimbursement systems vary significantly by country and by region within some countries, and reimbursement approvals must be obtained on a country-by-country basis and various coverage, pricing and reimbursement approvals are required for our tests to be available to patients in significant volume. In the EU some countries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We expect that it will take several years to establish broad coverage and reimbursement for our tests with payers in countries outside of the United States, and our efforts may not be successful.</w:t>
      </w:r>
    </w:p>
    <w:p>
      <w:pPr>
        <w:spacing w:after="0" w:line="19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62"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6" w:name="page67"/>
    <w:bookmarkEnd w:id="66"/>
    <w:p>
      <w:pPr>
        <w:ind w:left="5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 relations matters could have a material adverse effect on our business, reputation, prospects, results of operations and financial condition.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February 8, 2024, the International Association of Machinists and Aerospace Workers, or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We are unable to predict whether we will be successful in reaching a collective bargaining agreement, or the incremental cost and expense that may result from such efforts. In addition, to the extent we are unsuccessful, or if such efforts take longer than anticipated, impacted employees may threaten and/or engage in work stoppages and strikes, and our labor costs may continue to increase as a result. Even though we are currently unaware of other unionization efforts, it is possible that other employees may also seek to unionize. The unavailability of laboratory staff, or our inability to control labor costs related to these matters and future efforts to unionize, could have a material adverse effect on our business, reputation, prospects, results of operations and financial condition.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use AI in our products and services which may result in operational challenges, legal liability, reputational concerns and competitive risks.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the European Union’s Artificial Intelligence Act, or the AI Act, which took effect on August 1, 2024, and provides for administrative fines of up to 35 million Euros or 7% of a company’s total worldwide annual turnover for the preceding financial year, whichever is the higher). In addition, the use and deployment of AI presents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w:t>
      </w:r>
    </w:p>
    <w:p>
      <w:pPr>
        <w:spacing w:after="0" w:line="19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w:t>
      </w:r>
    </w:p>
    <w:p>
      <w:pPr>
        <w:spacing w:after="0" w:line="18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w:t>
      </w:r>
    </w:p>
    <w:p>
      <w:pPr>
        <w:spacing w:after="0" w:line="18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7" w:name="page68"/>
    <w:bookmarkEnd w:id="67"/>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understand that the terms “AI,” “Machine Learning,”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w:t>
      </w:r>
    </w:p>
    <w:p>
      <w:pPr>
        <w:spacing w:after="0" w:line="75" w:lineRule="exact"/>
        <w:rPr>
          <w:sz w:val="20"/>
          <w:szCs w:val="20"/>
          <w:color w:val="auto"/>
        </w:rPr>
      </w:pPr>
    </w:p>
    <w:p>
      <w:pPr>
        <w:ind w:left="1020" w:right="3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is a type of AI where the computer software is tasked with learning without being explicitly programmed. Instead, the software learns and adapts through a combination of instruction from humans and self-experimentation.</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is a type of AI that can take different types of inputs (such as text, image, audio, video, code, etc.) and generate new content using a variety of different modalities and based on a sophisticated and advanced set of rules.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Language Models are algorithms that can recognize, summarize, translate, predict, answer questions about, and generate content using very large datasets, such as our own multimodal clinical- molecular database.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 Networks are a type of machine learning that teach computers to process data in a way that is inspired by the human brain. Neural networks use interconnected nodes or neurons, much in the same way the human brain does.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use of generative AI tools may pose particular risks to our proprietary software and systems and subject us to legal liability.</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use generative AI tools in our business and expect to use generative AI tools in the future. Using generative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and expect to continue to face allegations, and we may face claims regarding such allegations, from third parties of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91" w:lineRule="exact"/>
        <w:rPr>
          <w:sz w:val="20"/>
          <w:szCs w:val="20"/>
          <w:color w:val="auto"/>
        </w:rPr>
      </w:pPr>
    </w:p>
    <w:p>
      <w:pPr>
        <w:ind w:left="5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8" w:name="page69"/>
    <w:bookmarkEnd w:id="68"/>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diagnostics companies, such as Foundation Medicine, Inc., which was acquired by Roche Holdings, Inc., Caris Life Sciences, Guardant Health, Inc., Neogenomics, ResolutionBio, which was acquired by Agilent, and Natera, Inc., among others, with respect to our currently marketed precision oncology tests, and legacy diagnostic laboratories, such as Quest and LabCorp. In addition, our competitors for our pharmacogenetic test in neuropsychiatry include Myriad Genetics, Inc. and Genomind, Inc.</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competitors with respect to our Data and Services products include Flatiron Health, Inc., IQVIA Holdings Inc., and ConcertAI, among others. Furthermore, our Data and Services products also face competition from CROs, such as Fortrea, ICON, Syneos, PPD, and others, who provide data and clinical trial matching services to pharmaceutical and biotechnology companies.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8"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9" w:name="page70"/>
    <w:bookmarkEnd w:id="69"/>
    <w:p>
      <w:pPr>
        <w:ind w:right="120"/>
        <w:spacing w:after="0" w:line="261" w:lineRule="auto"/>
        <w:rPr>
          <w:sz w:val="20"/>
          <w:szCs w:val="20"/>
          <w:color w:val="auto"/>
        </w:rPr>
      </w:pPr>
      <w:r>
        <w:rPr>
          <w:rFonts w:ascii="Times New Roman" w:cs="Times New Roman" w:eastAsia="Times New Roman" w:hAnsi="Times New Roman"/>
          <w:sz w:val="18"/>
          <w:szCs w:val="18"/>
          <w:color w:val="auto"/>
        </w:rPr>
        <w:t>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84"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 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9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68" w:lineRule="exact"/>
        <w:rPr>
          <w:sz w:val="20"/>
          <w:szCs w:val="20"/>
          <w:color w:val="auto"/>
        </w:rPr>
      </w:pPr>
    </w:p>
    <w:p>
      <w:pPr>
        <w:ind w:left="5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w:t>
      </w:r>
    </w:p>
    <w:p>
      <w:pPr>
        <w:spacing w:after="0" w:line="180"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Each of our target markets is large, distinct and diverse. As a result, we believe it is necessary for many of our sales representatives and business development managers to have established diagnostic- or healthcare data- 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8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0"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and Services products to large pharmaceutical and biotechnology customers, our results of operations may suffer.</w:t>
      </w:r>
    </w:p>
    <w:p>
      <w:pPr>
        <w:spacing w:after="0" w:line="5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68"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0" w:name="page71"/>
    <w:bookmarkEnd w:id="70"/>
    <w:p>
      <w:pPr>
        <w:ind w:left="1020" w:right="2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advancements in AI allow our Data customers to develop models that serve as functional equivalents of our database and render our own products obsolete.</w:t>
      </w:r>
    </w:p>
    <w:p>
      <w:pPr>
        <w:spacing w:after="0" w:line="16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19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66" w:lineRule="exact"/>
        <w:rPr>
          <w:sz w:val="20"/>
          <w:szCs w:val="20"/>
          <w:color w:val="auto"/>
        </w:rPr>
      </w:pPr>
    </w:p>
    <w:p>
      <w:pPr>
        <w:ind w:left="5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5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we derived $67.9 million, or approximately 40% and 13%, of our Data and Services product line revenue and total revenue, respectively, from three customers. We expect to continue to derive a significant portion of our Data and Services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7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25"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71" w:name="page72"/>
    <w:bookmarkEnd w:id="71"/>
    <w:p>
      <w:pPr>
        <w:ind w:right="20"/>
        <w:spacing w:after="0" w:line="258" w:lineRule="auto"/>
        <w:rPr>
          <w:sz w:val="20"/>
          <w:szCs w:val="20"/>
          <w:color w:val="auto"/>
        </w:rPr>
      </w:pPr>
      <w:r>
        <w:rPr>
          <w:rFonts w:ascii="Times New Roman" w:cs="Times New Roman" w:eastAsia="Times New Roman" w:hAnsi="Times New Roman"/>
          <w:sz w:val="18"/>
          <w:szCs w:val="18"/>
          <w:color w:val="auto"/>
        </w:rPr>
        <w:t>customers may negotiate terms less advantageous to us upon renewal, which may reduce our revenue from these customers. Factors that are not within our control may contribute to a reduction in our Data and Services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w:t>
      </w:r>
    </w:p>
    <w:p>
      <w:pPr>
        <w:spacing w:after="0" w:line="287" w:lineRule="exact"/>
        <w:rPr>
          <w:sz w:val="20"/>
          <w:szCs w:val="20"/>
          <w:color w:val="auto"/>
        </w:rPr>
      </w:pPr>
    </w:p>
    <w:p>
      <w:pPr>
        <w:ind w:left="5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and Services product line revenue are generated by sales to life sciences industry customers, and factors that adversely affect this industry could also adversely affect our Data business sales.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98"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and Services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indebtedness of $444.7 million, comprised of $174.5 million under the convertible promissory note, as amended, or the Amended Note, that we issued to Google LLC, or Google, and $270.2 million pursuant to a credit agreement with Ares Capital Corporation, or Ares, as amended, for a senior secured loan, or the Term Loan Facility. Our current and future indebtedness, including the Amended Note and the Term Loan Facility may have significant negative effects on our operations, including:</w:t>
      </w:r>
    </w:p>
    <w:p>
      <w:pPr>
        <w:spacing w:after="0" w:line="72" w:lineRule="exact"/>
        <w:rPr>
          <w:sz w:val="20"/>
          <w:szCs w:val="20"/>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w:t>
      </w:r>
    </w:p>
    <w:p>
      <w:pPr>
        <w:spacing w:after="0" w:line="75"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in certain circumstances, to obtain approval from Ares before embarking on certain mergers, acquisitions, capital expenditures, or other operational issues.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292" w:lineRule="exact"/>
        <w:rPr>
          <w:sz w:val="20"/>
          <w:szCs w:val="20"/>
          <w:color w:val="auto"/>
        </w:rPr>
      </w:pPr>
    </w:p>
    <w:p>
      <w:pPr>
        <w:ind w:left="5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33% and 35% of total vendor payments for the years ended December 31, 2023 and 2022, respectively. Amounts due to this supplier were approximately $11.8 million at December 31, 2023.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73" w:name="page74"/>
    <w:bookmarkEnd w:id="73"/>
    <w:p>
      <w:pPr>
        <w:ind w:right="40"/>
        <w:spacing w:after="0" w:line="256" w:lineRule="auto"/>
        <w:rPr>
          <w:sz w:val="20"/>
          <w:szCs w:val="20"/>
          <w:color w:val="auto"/>
        </w:rPr>
      </w:pPr>
      <w:r>
        <w:rPr>
          <w:rFonts w:ascii="Times New Roman" w:cs="Times New Roman" w:eastAsia="Times New Roman" w:hAnsi="Times New Roman"/>
          <w:sz w:val="18"/>
          <w:szCs w:val="18"/>
          <w:color w:val="auto"/>
        </w:rPr>
        <w:t>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91" w:lineRule="exact"/>
        <w:rPr>
          <w:sz w:val="20"/>
          <w:szCs w:val="20"/>
          <w:color w:val="auto"/>
        </w:rPr>
      </w:pPr>
    </w:p>
    <w:p>
      <w:pPr>
        <w:ind w:left="5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conflicts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96"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19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0" w:lineRule="exact"/>
        <w:rPr>
          <w:sz w:val="20"/>
          <w:szCs w:val="20"/>
          <w:color w:val="auto"/>
        </w:rPr>
      </w:pPr>
    </w:p>
    <w:p>
      <w:pPr>
        <w:ind w:left="5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4" w:name="page75"/>
    <w:bookmarkEnd w:id="74"/>
    <w:p>
      <w:pPr>
        <w:ind w:right="200"/>
        <w:spacing w:after="0" w:line="282" w:lineRule="auto"/>
        <w:rPr>
          <w:sz w:val="20"/>
          <w:szCs w:val="20"/>
          <w:color w:val="auto"/>
        </w:rPr>
      </w:pPr>
      <w:r>
        <w:rPr>
          <w:rFonts w:ascii="Times New Roman" w:cs="Times New Roman" w:eastAsia="Times New Roman" w:hAnsi="Times New Roman"/>
          <w:sz w:val="18"/>
          <w:szCs w:val="18"/>
          <w:color w:val="auto"/>
        </w:rPr>
        <w:t>our business. In addition, if we are unable to continue to obtain expedited delivery services to transport samples to us on commercially reasonable terms, our business, financial condition and results of operations may be adversely affected.</w:t>
      </w:r>
    </w:p>
    <w:p>
      <w:pPr>
        <w:spacing w:after="0" w:line="266" w:lineRule="exact"/>
        <w:rPr>
          <w:sz w:val="20"/>
          <w:szCs w:val="20"/>
          <w:color w:val="auto"/>
        </w:rPr>
      </w:pPr>
    </w:p>
    <w:p>
      <w:pPr>
        <w:ind w:left="5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provide quality technical support and services for our Data and Services products, we could lose customers and our business and prospects will suffer.</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298"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68" w:lineRule="exact"/>
        <w:rPr>
          <w:sz w:val="20"/>
          <w:szCs w:val="20"/>
          <w:color w:val="auto"/>
        </w:rPr>
      </w:pPr>
    </w:p>
    <w:p>
      <w:pPr>
        <w:ind w:left="1020" w:right="6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including regulations that limit our ability to collect and distribute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71"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or certifications for the use of our products in various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maintaining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5" w:name="page76"/>
    <w:bookmarkEnd w:id="75"/>
    <w:p>
      <w:pPr>
        <w:jc w:val="both"/>
        <w:ind w:left="1020" w:right="20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conflicts between Russia and Ukraine and the hostilities in the Middle East), terrorism, and political unrest, boycotts, curtailment of trade and other business restrictions;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In October 2023, following a series of coordinated attacks in Israel conducted by the Palestinian Islamist militant group Hamas, Israel began air strikes and a subsequent ground war against Hamas, which has since expanded. The Israel/Hamas conflict is threatening to spread further, and may in the future spread, into other Middle Eastern countries. While our business and operations are currently not impacted, including in Israel where we sell certain molecular tests through a third party and perform certain testing services, it is not possible to predict consequences of these crises, or any other conflicts that may arise, which could include further sanctions, embargoes, regional instability, geopolitical shifts and adverse effects on macroeconomic conditions, security conditions, currency exchange rates and financial markets, any of which could have a material adverse impact on our future operations and results.</w:t>
      </w:r>
    </w:p>
    <w:p>
      <w:pPr>
        <w:spacing w:after="0" w:line="18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17" w:lineRule="exact"/>
        <w:rPr>
          <w:sz w:val="20"/>
          <w:szCs w:val="20"/>
          <w:color w:val="auto"/>
        </w:rPr>
      </w:pPr>
    </w:p>
    <w:p>
      <w:pPr>
        <w:ind w:left="5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ind w:right="440" w:firstLine="509"/>
        <w:spacing w:after="0" w:line="256"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6" w:name="page77"/>
    <w:bookmarkEnd w:id="76"/>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Massachusetts, and others,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Although there are limited exemptions for clinical trial data under the CCPA, the CCPA and other similar laws could impact our business activities depending on how they are interpreted. In recent years, numerous other U.S. states—including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Similar laws are being considered in several other states, as well as at the federal and local levels, and we expect more states to pass similar laws in the future.</w:t>
      </w:r>
    </w:p>
    <w:p>
      <w:pPr>
        <w:spacing w:after="0" w:line="19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or may choose to voluntarily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differ from HIPAA, we may have to comply with these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7" w:name="page78"/>
    <w:bookmarkEnd w:id="77"/>
    <w:p>
      <w:pPr>
        <w:ind w:firstLine="509"/>
        <w:spacing w:after="0" w:line="251"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laboratories reside.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European data protection authorities have already imposed fines for GDPR violations up to, in some cases, hundreds of millions of Euros.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20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On July 11, 2023, the European Commission entered into force its adequacy decision for the EU-US Data Privacy Framework, or EU-US DPF, (a new framework for transferring personal information from the EEA to the United States), having determined that such framework ensures that the protection of personal information transferred from the EEA to the United States will be comparable to the protection offered in the EU. However, this decision will likely face legal challenges and ultimately may be invalidated by the CJEU just as the EU-US Privacy Shield was. On October 12, 2023, a UK- 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If we are unable to implement a valid compliance mechanism for cross-border personal data transfers, we may face increased exposure to regulatory actions, substantial fines and injunctions against processing or transferring personal data outside of the EEA and the United Kingdom, including to the United States.</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3"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With the GDPR, CCPA, and other laws, regulations and other obligations relating to privacy and data protection imposing new and relatively burdensome obligations, and with substantial uncertainty over the interpretation and application of these and other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8" w:name="page79"/>
    <w:bookmarkEnd w:id="78"/>
    <w:p>
      <w:pPr>
        <w:spacing w:after="0" w:line="255" w:lineRule="auto"/>
        <w:rPr>
          <w:sz w:val="20"/>
          <w:szCs w:val="20"/>
          <w:color w:val="auto"/>
        </w:rPr>
      </w:pPr>
      <w:r>
        <w:rPr>
          <w:rFonts w:ascii="Times New Roman" w:cs="Times New Roman" w:eastAsia="Times New Roman" w:hAnsi="Times New Roman"/>
          <w:sz w:val="18"/>
          <w:szCs w:val="18"/>
          <w:color w:val="auto"/>
        </w:rPr>
        <w:t>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93" w:lineRule="exact"/>
        <w:rPr>
          <w:sz w:val="20"/>
          <w:szCs w:val="20"/>
          <w:color w:val="auto"/>
        </w:rPr>
      </w:pPr>
    </w:p>
    <w:p>
      <w:pPr>
        <w:ind w:left="5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68" w:lineRule="exact"/>
        <w:rPr>
          <w:sz w:val="20"/>
          <w:szCs w:val="20"/>
          <w:color w:val="auto"/>
        </w:rPr>
      </w:pPr>
    </w:p>
    <w:p>
      <w:pPr>
        <w:ind w:left="1020" w:right="4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AI in analyzing data, including data in healthcare related areas;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2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 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In the EEA, in order to place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 (“IVD”), or an accessory to an IVD, on the market, or put it into service in the EEA, the device must be designed, developed, manufactured and marketed in compliance with the relevant legal framework. On May 26, 2022, the Regulation on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Diagnostic Medical Devices (Regulation (EU) 2017/746) (“IVDR”) entered into application, repealing and replacing the Directive on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Diagnostic Medical Devices (98/79/EC), or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The IVDR also establishes transitional provisions permitting certain devices that have been CE marked in accordance</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9" w:name="page80"/>
    <w:bookmarkEnd w:id="79"/>
    <w:p>
      <w:pPr>
        <w:spacing w:after="0" w:line="258" w:lineRule="auto"/>
        <w:rPr>
          <w:sz w:val="20"/>
          <w:szCs w:val="20"/>
          <w:color w:val="auto"/>
        </w:rPr>
      </w:pPr>
      <w:r>
        <w:rPr>
          <w:rFonts w:ascii="Times New Roman" w:cs="Times New Roman" w:eastAsia="Times New Roman" w:hAnsi="Times New Roman"/>
          <w:sz w:val="18"/>
          <w:szCs w:val="18"/>
          <w:color w:val="auto"/>
        </w:rPr>
        <w:t>with the IVDD to continue to be placed on the EEA market under strict conditions and for a specific period of time depending on the risk classification of the device. Medical devices are governed by the Regulation on Medical Devices (Regulation (EU) 2017/745) (“MDR”) which entered into application on May 26, 2021, repealing and replacing the Directive on Medical Devices (93/42/EC) (the “MDD”). The MDR establishes similar provisions to the IVDR in relation to medical devices. If we do not comply with these requirements or fail to adequately comply, our business, financial condition and results of operations may be harmed.</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7"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FDA has historically operated under a policy of enforcement discretion with respect to LDTs whereby the FDA did not actively enforce its regulatory requirements for such tests. On May 6, 2024, the FDA published final regulations that took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If we fail to phase-in our compliance with these regulations we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Even if such tests are authorized for marketing by the FDA, the agency could limit the test’s indications for use, which may significantly limit the market for that product and may adversely affect our business and financial condition.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 results of the LDTs to our customers and this may require costly modifications, additional development or the reduction in functionality in our offerings which could, in turn, make them less attractive to our customers.</w:t>
      </w:r>
    </w:p>
    <w:p>
      <w:pPr>
        <w:spacing w:after="0" w:line="294" w:lineRule="exact"/>
        <w:rPr>
          <w:sz w:val="20"/>
          <w:szCs w:val="20"/>
          <w:color w:val="auto"/>
        </w:rPr>
      </w:pPr>
    </w:p>
    <w:p>
      <w:pPr>
        <w:ind w:left="5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or that comparable foreign regulatory authorities will grant the necessary clearance, approval or certification of our products and failure to obtain necessary clearances, approvals or certification for our products would adversely affect our ability to grow our business.</w:t>
      </w:r>
    </w:p>
    <w:p>
      <w:pPr>
        <w:spacing w:after="0" w:line="67"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w:t>
      </w:r>
    </w:p>
    <w:p>
      <w:pPr>
        <w:spacing w:after="0" w:line="158"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17"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0" w:name="page81"/>
    <w:bookmarkEnd w:id="80"/>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2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clearances or certification prior to marketing our diagnostic products. For example, in the Europe Union, we need to comply with the new MDR and IVDR. IVDs must comply with the General Safety and Performance Requirements (“GSPRs”) set out in Annex I to the IVDR and medical devices must comply with the GSPRs set out in Annex I to the MDR. Compliance with these requirements is a prerequisite to be able to affix the CE Mark to IVDs or medical devices, without which they cannot be marketed or sold in the EEA. To demonstrate compliance with the GSPRs provided in the IVDR or the MDR and obtain the right to affix the CE mark, medical devices manufacturers must undergo a conformity assessment procedure. Depending on the type of IVD or medical device and its classification, the conformity assessment procedure may require the intervention of a Notified Body. The Notified Body issues a CE Certificate of Conformity following successful completion of a conformity assessment procedure conducted in relation to the IVD or medical device and its manufacturer and their conformity with the GSPRs. This Certificate and the related conformity assessment process entitles the manufacturer to affix the CE mark to its IVDs or medical devices after having prepared and signed a related EU Declaration of Conformity. Obtaining the requisite regulatory approvals, clearances or certification in foreign jurisdictions can be expensive and may involve considerable delay.</w:t>
      </w:r>
    </w:p>
    <w:p>
      <w:pPr>
        <w:spacing w:after="0" w:line="19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clearances or certification would have a material adverse effect on our business, financial condition and results of operations.</w:t>
      </w:r>
    </w:p>
    <w:p>
      <w:pPr>
        <w:spacing w:after="0" w:line="266"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approved or CE marked products may require new 510(k) clearances or premarket approvals or certification, or may require us to cease marketing or recall the modified products until clearances are obtained.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 Similarly, in the EU, for any products we have CE marked, future changes or updates to our products, which affect their safety or efficacy, may require new Notified Body certification before we may sell the revised product.</w:t>
      </w:r>
    </w:p>
    <w:p>
      <w:pPr>
        <w:spacing w:after="0" w:line="296" w:lineRule="exact"/>
        <w:rPr>
          <w:sz w:val="20"/>
          <w:szCs w:val="20"/>
          <w:color w:val="auto"/>
        </w:rPr>
      </w:pPr>
    </w:p>
    <w:p>
      <w:pPr>
        <w:ind w:left="5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regulatory authority, or the discovery of serious safety issues with our products, could have a significant adverse impact on us.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and international regulatory bodies have the authority to require the recall of commercialized products that are subject to FDA or foreign applicable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or CE marked tests in the EU,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1" w:name="page82"/>
    <w:bookmarkEnd w:id="81"/>
    <w:p>
      <w:pPr>
        <w:ind w:right="40"/>
        <w:spacing w:after="0" w:line="261" w:lineRule="auto"/>
        <w:rPr>
          <w:sz w:val="20"/>
          <w:szCs w:val="20"/>
          <w:color w:val="auto"/>
        </w:rPr>
      </w:pPr>
      <w:r>
        <w:rPr>
          <w:rFonts w:ascii="Times New Roman" w:cs="Times New Roman" w:eastAsia="Times New Roman" w:hAnsi="Times New Roman"/>
          <w:sz w:val="18"/>
          <w:szCs w:val="18"/>
          <w:color w:val="auto"/>
        </w:rPr>
        <w:t>voluntary recalls involving our products in the future that we determine do not require notification to the FDA or a foreign regulatory authority. If the FDA or a foreign regulatory authority disagrees with our determinations, the FDA or a foreign regulatory authority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foreign regulatory authorities and our customers regarding the quality and safety of our tests and to negative publicity, including FDA or a foreign regulatory authority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Arterys, Inc., a company we acquired in 2022, has developed several medical devices that are regulated by the FDA and EU legislation governing medical devices. Arterys also distributes devices developed by third parties. If we identify an issue with, or propose changes to, one of these devices that impacts patient safety or causes us to undertake a field action or implement a recall, our business operations and reputation could be harmed in a meaningful way.</w:t>
      </w:r>
    </w:p>
    <w:p>
      <w:pPr>
        <w:spacing w:after="0" w:line="284" w:lineRule="exact"/>
        <w:rPr>
          <w:sz w:val="20"/>
          <w:szCs w:val="20"/>
          <w:color w:val="auto"/>
        </w:rPr>
      </w:pPr>
    </w:p>
    <w:p>
      <w:pPr>
        <w:ind w:left="5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authorities in the future, which could increase our costs and delay our commercialization efforts, thereby materially and adversely affecting our business, financial condition and results of operations.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or certification of our products, we will continue to be subject to extensive regulatory oversight.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European Union legislation in the European Economic Area, or EEA, enforced by the Competent Authorities of EEA countries, and comparable regulatory authorities in other territories where we do or may do business. If any of our products are approved by the FDA, or other comparable foreign regulatory authorities, or CE marked in accordance with EU legislation governing medical devices or IVDs,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ind w:right="160"/>
        <w:spacing w:after="0" w:line="261" w:lineRule="auto"/>
        <w:rPr>
          <w:sz w:val="20"/>
          <w:szCs w:val="20"/>
          <w:color w:val="auto"/>
        </w:rPr>
      </w:pPr>
      <w:r>
        <w:rPr>
          <w:rFonts w:ascii="Times New Roman" w:cs="Times New Roman" w:eastAsia="Times New Roman" w:hAnsi="Times New Roman"/>
          <w:sz w:val="18"/>
          <w:szCs w:val="18"/>
          <w:color w:val="auto"/>
        </w:rPr>
        <w:t>timely complete post-approval studies in compliance with applicable regulations, update the product labeling, or comply with other post-approval requirements could result in withdrawal of approval of the PMA, which would harm our business, financial condition and results of operations Similar considerations and requirements apply in relation to those products we have CE marked in the EEA, or for any products we may CE mark in the future in accordance with the IVDR or the MDR.</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the FTC and comparable foreign regulatory authorities also regulate the advertising and promotion of medical devices to ensure that their promotional claims made are consistent with the applicable marketing authorizations or certification, that there are adequate and reasonable data to substantiate the claims, and that the promotional labeling and advertising is neither false nor misleading in any respect. If the FDA, FTC or a comparable foreign regulatory authority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authorities, or actions by Notified Bodies in the EEA in relation to the CE Certificate of Conformity they have issued in accordance with EU legislation governing medical devices or IVDs, which may include any of the following sanctions:</w:t>
      </w:r>
    </w:p>
    <w:p>
      <w:pPr>
        <w:spacing w:after="0" w:line="68"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approvals or certification of new products, new intended uses or modifications to existing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approvals or certification, resulting in prohibitions on sales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 Similar considerations apply in foreign countries.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8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7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changes to the regulatory system implemented in the EU by the IVDR and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3" w:name="page84"/>
    <w:bookmarkEnd w:id="83"/>
    <w:p>
      <w:pPr>
        <w:ind w:right="140"/>
        <w:spacing w:after="0" w:line="258" w:lineRule="auto"/>
        <w:rPr>
          <w:sz w:val="20"/>
          <w:szCs w:val="20"/>
          <w:color w:val="auto"/>
        </w:rPr>
      </w:pPr>
      <w:r>
        <w:rPr>
          <w:rFonts w:ascii="Times New Roman" w:cs="Times New Roman" w:eastAsia="Times New Roman" w:hAnsi="Times New Roman"/>
          <w:sz w:val="18"/>
          <w:szCs w:val="18"/>
          <w:color w:val="auto"/>
        </w:rPr>
        <w:t>requirements for the quality management system, additional requirements for traceability of products and transparency as well a refined responsibility of economic operators. We would also be required to provide clinical data in the form of a clinical evaluation or performance report. Fulfillment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or the MDR for any of our products, or the continued use of any CE Certificate of Conformity issued under the IVDR or MDR.</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approval or certification of our diagnostic tests.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including the potential impact of the U.S. Supreme Court’s decision in Loper Bright Enterprises vs. Raimondo, which curtails the power of federal agencies to interpret the laws they administer.</w:t>
      </w:r>
    </w:p>
    <w:p>
      <w:pPr>
        <w:spacing w:after="0" w:line="280" w:lineRule="exact"/>
        <w:rPr>
          <w:sz w:val="20"/>
          <w:szCs w:val="20"/>
          <w:color w:val="auto"/>
        </w:rPr>
      </w:pPr>
    </w:p>
    <w:p>
      <w:pPr>
        <w:ind w:left="5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or certification in foreign jurisdictions for any of our products and, even if we do, we may never be able to commercialize them in any other jurisdiction, which would limit our ability to realize their full market potential.</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and certification processes vary among countries and can involve additional product testing and validation and additional administrative review periods.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Seeking foreign regulatory clearance, authorization, approval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approvals or certification in international markets, or if those approvals or certification are delayed, our target market will be reduced and our ability to realize the full market potential of our products will be unrealized.</w:t>
      </w:r>
    </w:p>
    <w:p>
      <w:pPr>
        <w:spacing w:after="0" w:line="291" w:lineRule="exact"/>
        <w:rPr>
          <w:sz w:val="20"/>
          <w:szCs w:val="20"/>
          <w:color w:val="auto"/>
        </w:rPr>
      </w:pPr>
    </w:p>
    <w:p>
      <w:pPr>
        <w:ind w:left="5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 Similar considerations may apply in foreign countries.</w:t>
      </w:r>
    </w:p>
    <w:p>
      <w:pPr>
        <w:spacing w:after="0" w:line="189" w:lineRule="exact"/>
        <w:rPr>
          <w:sz w:val="20"/>
          <w:szCs w:val="20"/>
          <w:color w:val="auto"/>
        </w:rPr>
      </w:pPr>
    </w:p>
    <w:p>
      <w:pPr>
        <w:ind w:right="440" w:firstLine="509"/>
        <w:spacing w:after="0" w:line="256"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North Carolina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4" w:name="page85"/>
    <w:bookmarkEnd w:id="84"/>
    <w:p>
      <w:pPr>
        <w:ind w:right="180"/>
        <w:spacing w:after="0" w:line="266" w:lineRule="auto"/>
        <w:rPr>
          <w:sz w:val="20"/>
          <w:szCs w:val="20"/>
          <w:color w:val="auto"/>
        </w:rPr>
      </w:pPr>
      <w:r>
        <w:rPr>
          <w:rFonts w:ascii="Times New Roman" w:cs="Times New Roman" w:eastAsia="Times New Roman" w:hAnsi="Times New Roman"/>
          <w:sz w:val="18"/>
          <w:szCs w:val="18"/>
          <w:color w:val="auto"/>
        </w:rPr>
        <w:t>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Atlanta and Raleigh, North Carolina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1" w:lineRule="exact"/>
        <w:rPr>
          <w:sz w:val="20"/>
          <w:szCs w:val="20"/>
          <w:color w:val="auto"/>
        </w:rPr>
      </w:pPr>
    </w:p>
    <w:p>
      <w:pPr>
        <w:jc w:val="both"/>
        <w:ind w:left="5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state and foreign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54" w:lineRule="exact"/>
        <w:rPr>
          <w:sz w:val="20"/>
          <w:szCs w:val="20"/>
          <w:color w:val="auto"/>
        </w:rPr>
      </w:pPr>
    </w:p>
    <w:p>
      <w:pPr>
        <w:ind w:left="1020" w:right="20" w:hanging="503"/>
        <w:spacing w:after="0" w:line="25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87" w:lineRule="exact"/>
        <w:rPr>
          <w:rFonts w:ascii="Times New Roman" w:cs="Times New Roman" w:eastAsia="Times New Roman" w:hAnsi="Times New Roman"/>
          <w:sz w:val="18"/>
          <w:szCs w:val="18"/>
          <w:color w:val="auto"/>
        </w:rPr>
      </w:pPr>
    </w:p>
    <w:p>
      <w:pPr>
        <w:ind w:left="1020" w:right="120" w:hanging="503"/>
        <w:spacing w:after="0" w:line="25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5" w:name="page86"/>
    <w:bookmarkEnd w:id="85"/>
    <w:p>
      <w:pPr>
        <w:ind w:left="503" w:right="40"/>
        <w:spacing w:after="0" w:line="256" w:lineRule="auto"/>
        <w:rPr>
          <w:sz w:val="20"/>
          <w:szCs w:val="20"/>
          <w:color w:val="auto"/>
        </w:rPr>
      </w:pPr>
      <w:r>
        <w:rPr>
          <w:rFonts w:ascii="Times New Roman" w:cs="Times New Roman" w:eastAsia="Times New Roman" w:hAnsi="Times New Roman"/>
          <w:sz w:val="18"/>
          <w:szCs w:val="18"/>
          <w:color w:val="auto"/>
        </w:rPr>
        <w:t>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79" w:lineRule="exact"/>
        <w:rPr>
          <w:sz w:val="20"/>
          <w:szCs w:val="20"/>
          <w:color w:val="auto"/>
        </w:rPr>
      </w:pPr>
    </w:p>
    <w:p>
      <w:pPr>
        <w:ind w:left="503" w:hanging="503"/>
        <w:spacing w:after="0" w:line="256" w:lineRule="auto"/>
        <w:tabs>
          <w:tab w:leader="none" w:pos="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79"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71" w:lineRule="exact"/>
        <w:rPr>
          <w:rFonts w:ascii="Times New Roman" w:cs="Times New Roman" w:eastAsia="Times New Roman" w:hAnsi="Times New Roman"/>
          <w:sz w:val="18"/>
          <w:szCs w:val="18"/>
          <w:color w:val="auto"/>
        </w:rPr>
      </w:pPr>
    </w:p>
    <w:p>
      <w:pPr>
        <w:jc w:val="both"/>
        <w:ind w:left="503" w:right="120" w:hanging="503"/>
        <w:spacing w:after="0" w:line="266" w:lineRule="auto"/>
        <w:tabs>
          <w:tab w:leader="none" w:pos="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67" w:lineRule="exact"/>
        <w:rPr>
          <w:rFonts w:ascii="Times New Roman" w:cs="Times New Roman" w:eastAsia="Times New Roman" w:hAnsi="Times New Roman"/>
          <w:sz w:val="18"/>
          <w:szCs w:val="18"/>
          <w:color w:val="auto"/>
        </w:rPr>
      </w:pPr>
    </w:p>
    <w:p>
      <w:pPr>
        <w:ind w:left="503" w:right="60" w:hanging="503"/>
        <w:spacing w:after="0" w:line="254" w:lineRule="auto"/>
        <w:tabs>
          <w:tab w:leader="none" w:pos="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83" w:lineRule="exact"/>
        <w:rPr>
          <w:rFonts w:ascii="Times New Roman" w:cs="Times New Roman" w:eastAsia="Times New Roman" w:hAnsi="Times New Roman"/>
          <w:sz w:val="18"/>
          <w:szCs w:val="18"/>
          <w:color w:val="auto"/>
        </w:rPr>
      </w:pPr>
    </w:p>
    <w:p>
      <w:pPr>
        <w:ind w:left="503" w:right="40" w:hanging="503"/>
        <w:spacing w:after="0" w:line="253" w:lineRule="auto"/>
        <w:tabs>
          <w:tab w:leader="none" w:pos="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83" w:lineRule="exact"/>
        <w:rPr>
          <w:rFonts w:ascii="Times New Roman" w:cs="Times New Roman" w:eastAsia="Times New Roman" w:hAnsi="Times New Roman"/>
          <w:sz w:val="18"/>
          <w:szCs w:val="18"/>
          <w:color w:val="auto"/>
        </w:rPr>
      </w:pPr>
    </w:p>
    <w:p>
      <w:pPr>
        <w:ind w:left="503" w:right="20" w:hanging="503"/>
        <w:spacing w:after="0" w:line="256" w:lineRule="auto"/>
        <w:tabs>
          <w:tab w:leader="none" w:pos="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86" w:name="page87"/>
    <w:bookmarkEnd w:id="86"/>
    <w:p>
      <w:pPr>
        <w:ind w:left="1020" w:right="280"/>
        <w:spacing w:after="0" w:line="282" w:lineRule="auto"/>
        <w:rPr>
          <w:sz w:val="20"/>
          <w:szCs w:val="20"/>
          <w:color w:val="auto"/>
        </w:rPr>
      </w:pPr>
      <w:r>
        <w:rPr>
          <w:rFonts w:ascii="Times New Roman" w:cs="Times New Roman" w:eastAsia="Times New Roman" w:hAnsi="Times New Roman"/>
          <w:sz w:val="18"/>
          <w:szCs w:val="18"/>
          <w:color w:val="auto"/>
        </w:rPr>
        <w:t>of a covered entity, with respect to safeguarding the privacy, security and transmission of individually identifiable health information, and their covered subcontractors;</w:t>
      </w:r>
    </w:p>
    <w:p>
      <w:pPr>
        <w:spacing w:after="0" w:line="54" w:lineRule="exact"/>
        <w:rPr>
          <w:sz w:val="20"/>
          <w:szCs w:val="20"/>
          <w:color w:val="auto"/>
        </w:rPr>
      </w:pPr>
    </w:p>
    <w:p>
      <w:pPr>
        <w:ind w:left="1020" w:right="280" w:hanging="503"/>
        <w:spacing w:after="0" w:line="261"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 markup laws, any of which may extend to services reimbursable by any payer, including private insurers;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7" w:name="page88"/>
    <w:bookmarkEnd w:id="87"/>
    <w:p>
      <w:pPr>
        <w:ind w:right="120"/>
        <w:spacing w:after="0" w:line="254" w:lineRule="auto"/>
        <w:rPr>
          <w:sz w:val="20"/>
          <w:szCs w:val="20"/>
          <w:color w:val="auto"/>
        </w:rPr>
      </w:pPr>
      <w:r>
        <w:rPr>
          <w:rFonts w:ascii="Times New Roman" w:cs="Times New Roman" w:eastAsia="Times New Roman" w:hAnsi="Times New Roman"/>
          <w:sz w:val="18"/>
          <w:szCs w:val="18"/>
          <w:color w:val="auto"/>
        </w:rPr>
        <w:t>from the Medicare and Medicaid programs, bans on Medicare and Medicaid payments for new admissions, and civil monetary penalties or criminal penalties. These policies may impact our business.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any additional inquiry since that time. 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have continued to produce responsive documents on a rolling basis since that time. While we believe our programs and payments comply with the Anti-Kickback statute, no assurance can be given as to the timing or outcome of the government’s investigation, or that it will not result in a material adverse effect on our business.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pacing w:after="0" w:line="293"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96" w:lineRule="exact"/>
        <w:rPr>
          <w:sz w:val="20"/>
          <w:szCs w:val="20"/>
          <w:color w:val="auto"/>
        </w:rPr>
      </w:pPr>
    </w:p>
    <w:p>
      <w:pPr>
        <w:ind w:left="5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t>us to fines, penalties, or licensure requirements. Any determination that we are practicing medicine without a license may result in significant liability to us, and our business, financial condition and results of operations would be harmed.</w:t>
      </w:r>
    </w:p>
    <w:p>
      <w:pPr>
        <w:spacing w:after="0" w:line="266" w:lineRule="exact"/>
        <w:rPr>
          <w:sz w:val="20"/>
          <w:szCs w:val="20"/>
          <w:color w:val="auto"/>
        </w:rPr>
      </w:pPr>
    </w:p>
    <w:p>
      <w:pPr>
        <w:ind w:left="5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68" w:lineRule="exact"/>
        <w:rPr>
          <w:sz w:val="20"/>
          <w:szCs w:val="20"/>
          <w:color w:val="auto"/>
        </w:rPr>
      </w:pPr>
    </w:p>
    <w:p>
      <w:pPr>
        <w:ind w:left="1020" w:right="10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 the reimbursement rates of payers, the amounts we charge healthcare institutions directly, and the cost to patients who pay for our tests out-of-pocket;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state and foreign regulations related to billing government healthcare programs, including Medicare and Medicaid or comparable foreign programs, to the extent our tests are covered by such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2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in the process of updating our approach again. Despite our diligence in developing a comprehensive billing strategy that accurately describes the tests we provide, payers, such as the 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9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2023,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9" w:name="page90"/>
    <w:bookmarkEnd w:id="89"/>
    <w:p>
      <w:pPr>
        <w:ind w:right="420"/>
        <w:spacing w:after="0" w:line="282" w:lineRule="auto"/>
        <w:rPr>
          <w:sz w:val="20"/>
          <w:szCs w:val="20"/>
          <w:color w:val="auto"/>
        </w:rPr>
      </w:pPr>
      <w:r>
        <w:rPr>
          <w:rFonts w:ascii="Times New Roman" w:cs="Times New Roman" w:eastAsia="Times New Roman" w:hAnsi="Times New Roman"/>
          <w:sz w:val="18"/>
          <w:szCs w:val="18"/>
          <w:color w:val="auto"/>
        </w:rPr>
        <w:t>practices will not be challenged or reversed, such as by a demand for repayment, recoupment, or prospective billing policies. Any such attempts could adversely affect our results and operations.</w:t>
      </w:r>
    </w:p>
    <w:p>
      <w:pPr>
        <w:spacing w:after="0" w:line="266" w:lineRule="exact"/>
        <w:rPr>
          <w:sz w:val="20"/>
          <w:szCs w:val="20"/>
          <w:color w:val="auto"/>
        </w:rPr>
      </w:pPr>
    </w:p>
    <w:p>
      <w:pPr>
        <w:ind w:left="520"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 and negatively impact reimbursement for our tests.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19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0" w:name="page91"/>
    <w:bookmarkEnd w:id="90"/>
    <w:p>
      <w:pPr>
        <w:ind w:right="60"/>
        <w:spacing w:after="0" w:line="282" w:lineRule="auto"/>
        <w:rPr>
          <w:sz w:val="20"/>
          <w:szCs w:val="20"/>
          <w:color w:val="auto"/>
        </w:rPr>
      </w:pPr>
      <w:r>
        <w:rPr>
          <w:rFonts w:ascii="Times New Roman" w:cs="Times New Roman" w:eastAsia="Times New Roman" w:hAnsi="Times New Roman"/>
          <w:sz w:val="18"/>
          <w:szCs w:val="18"/>
          <w:color w:val="auto"/>
        </w:rPr>
        <w:t>business, financial condition and results of operations. We could also suffer severe penalties, including criminal and civil penalties, disgorgement and other remedial measures.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5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9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1" w:name="page92"/>
    <w:bookmarkEnd w:id="91"/>
    <w:p>
      <w:pPr>
        <w:ind w:right="220"/>
        <w:spacing w:after="0" w:line="282" w:lineRule="auto"/>
        <w:rPr>
          <w:sz w:val="20"/>
          <w:szCs w:val="20"/>
          <w:color w:val="auto"/>
        </w:rPr>
      </w:pPr>
      <w:r>
        <w:rPr>
          <w:rFonts w:ascii="Times New Roman" w:cs="Times New Roman" w:eastAsia="Times New Roman" w:hAnsi="Times New Roman"/>
          <w:sz w:val="18"/>
          <w:szCs w:val="18"/>
          <w:color w:val="auto"/>
        </w:rPr>
        <w:t>be successful, or, if successful, may take substantial time and result in substantial cost, and may divert our efforts and attention from other aspects of our business.</w:t>
      </w:r>
    </w:p>
    <w:p>
      <w:pPr>
        <w:spacing w:after="0" w:line="16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91"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9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9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92" w:name="page93"/>
    <w:bookmarkEnd w:id="92"/>
    <w:p>
      <w:pPr>
        <w:ind w:right="60"/>
        <w:spacing w:after="0" w:line="258" w:lineRule="auto"/>
        <w:rPr>
          <w:sz w:val="20"/>
          <w:szCs w:val="20"/>
          <w:color w:val="auto"/>
        </w:rPr>
      </w:pPr>
      <w:r>
        <w:rPr>
          <w:rFonts w:ascii="Times New Roman" w:cs="Times New Roman" w:eastAsia="Times New Roman" w:hAnsi="Times New Roman"/>
          <w:sz w:val="18"/>
          <w:szCs w:val="18"/>
          <w:color w:val="auto"/>
        </w:rPr>
        <w:t>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3" w:lineRule="exact"/>
        <w:rPr>
          <w:sz w:val="20"/>
          <w:szCs w:val="20"/>
          <w:color w:val="auto"/>
        </w:rPr>
      </w:pPr>
    </w:p>
    <w:p>
      <w:pPr>
        <w:ind w:right="160" w:firstLine="509"/>
        <w:spacing w:after="0" w:line="273" w:lineRule="auto"/>
        <w:rPr>
          <w:sz w:val="20"/>
          <w:szCs w:val="20"/>
          <w:color w:val="auto"/>
        </w:rPr>
      </w:pPr>
      <w:r>
        <w:rPr>
          <w:rFonts w:ascii="Times New Roman" w:cs="Times New Roman" w:eastAsia="Times New Roman" w:hAnsi="Times New Roman"/>
          <w:sz w:val="17"/>
          <w:szCs w:val="17"/>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7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9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Many of our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3" w:name="page94"/>
    <w:bookmarkEnd w:id="93"/>
    <w:p>
      <w:pPr>
        <w:ind w:right="40"/>
        <w:spacing w:after="0" w:line="253" w:lineRule="auto"/>
        <w:rPr>
          <w:sz w:val="20"/>
          <w:szCs w:val="20"/>
          <w:color w:val="auto"/>
        </w:rPr>
      </w:pPr>
      <w:r>
        <w:rPr>
          <w:rFonts w:ascii="Times New Roman" w:cs="Times New Roman" w:eastAsia="Times New Roman" w:hAnsi="Times New Roman"/>
          <w:sz w:val="18"/>
          <w:szCs w:val="18"/>
          <w:color w:val="auto"/>
        </w:rPr>
        <w:t>competitors are or have been party to these suits, including Guardant Health, Inc., or Guardant, Haystack Oncology, Inc., Invitae Corp., Illumina, Inc., Natera, Inc., NeoGenomics Laboratories, Inc., Personalis, Inc., TwinStrand Biosciences, Inc., and others, and, as a result, we have monitored and continue to monitor their developments and their potential impact on us. In addition,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Given the uncertainty of outcomes of patent litigation disputes, we have not determined whether our products and services could be subject to potential additional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additional claims of patent infringement and that we may need to either modify our existing or future sequencing methods or license intellectual property from third parties, both of which could be time consuming and expensive.</w:t>
      </w:r>
    </w:p>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receive notifications from third parties purportedly asserting certain intellectual property rights with respect to our products and services. For example, on September 21, 2023, SEngine Precision Medicine LLC (including its predecessor corporation SEngine Precision Medicine, Inc.), or SEngine, a company we acquired on October 3, 2023, received a letter from an attorney representing HUB Organoids IP B.V., or HUB Organoids, which states that SEngine’s PARIS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test methodologies “appear to share similarities with methods that the HUB has used in its own organoid work.” Similarly, on January 30, 2024, we received a letter from an attorney representing Molecular Loop Biosciences, Inc., which states that “[a]fter reviewing specific products made, used or sold by Tempus, Molecular Loop believes that Tempus requires a license to several of the patents in Molecular Loop’s patent portfolio.” While the letter received on behalf of HUB Organoids contains no specific allegations that SEngine infringes certain patents controlled by HUB Organoids referenced in the letter, and while the letter received on behalf of Molecular Loop contains only generalized allegations that Tempus may infringe certain patents controlled by Molecular Loop referenced in the letter, and while we have received and may in the future receive letters alleging patent infringement from other third parties, if any claims against us were made by these parties, including any claim that any portion of our products and services infringes any of the referenced patents, or any other patents held by a third party,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w:t>
      </w:r>
    </w:p>
    <w:p>
      <w:pPr>
        <w:spacing w:after="0" w:line="301" w:lineRule="exact"/>
        <w:rPr>
          <w:sz w:val="20"/>
          <w:szCs w:val="20"/>
          <w:color w:val="auto"/>
        </w:rPr>
      </w:pPr>
    </w:p>
    <w:p>
      <w:pPr>
        <w:ind w:left="5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Such license agreements impose, and future agreements may impose, various obligations, such as diligence, development, payment, royalty, sublicensing and other obligations on us in order to maintain the licenses.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9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or certification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17"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4" w:name="page95"/>
    <w:bookmarkEnd w:id="94"/>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91" w:lineRule="exact"/>
        <w:rPr>
          <w:sz w:val="20"/>
          <w:szCs w:val="20"/>
          <w:color w:val="auto"/>
        </w:rPr>
      </w:pPr>
    </w:p>
    <w:p>
      <w:pPr>
        <w:ind w:left="5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5" w:name="page96"/>
    <w:bookmarkEnd w:id="95"/>
    <w:p>
      <w:pPr>
        <w:ind w:right="120"/>
        <w:spacing w:after="0" w:line="261" w:lineRule="auto"/>
        <w:rPr>
          <w:sz w:val="20"/>
          <w:szCs w:val="20"/>
          <w:color w:val="auto"/>
        </w:rPr>
      </w:pPr>
      <w:r>
        <w:rPr>
          <w:rFonts w:ascii="Times New Roman" w:cs="Times New Roman" w:eastAsia="Times New Roman" w:hAnsi="Times New Roman"/>
          <w:sz w:val="18"/>
          <w:szCs w:val="18"/>
          <w:color w:val="auto"/>
        </w:rPr>
        <w:t>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88"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84"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19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6" w:name="page97"/>
    <w:bookmarkEnd w:id="96"/>
    <w:p>
      <w:pPr>
        <w:ind w:right="80"/>
        <w:spacing w:after="0" w:line="282" w:lineRule="auto"/>
        <w:rPr>
          <w:sz w:val="20"/>
          <w:szCs w:val="20"/>
          <w:color w:val="auto"/>
        </w:rPr>
      </w:pPr>
      <w:r>
        <w:rPr>
          <w:rFonts w:ascii="Times New Roman" w:cs="Times New Roman" w:eastAsia="Times New Roman" w:hAnsi="Times New Roman"/>
          <w:sz w:val="18"/>
          <w:szCs w:val="18"/>
          <w:color w:val="auto"/>
        </w:rPr>
        <w:t>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6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7" w:lineRule="exact"/>
        <w:rPr>
          <w:sz w:val="20"/>
          <w:szCs w:val="20"/>
          <w:color w:val="auto"/>
        </w:rPr>
      </w:pPr>
    </w:p>
    <w:p>
      <w:pPr>
        <w:ind w:left="520" w:right="7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292" w:lineRule="exact"/>
        <w:rPr>
          <w:sz w:val="20"/>
          <w:szCs w:val="20"/>
          <w:color w:val="auto"/>
        </w:rPr>
      </w:pPr>
    </w:p>
    <w:p>
      <w:pPr>
        <w:ind w:left="5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5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3" w:lineRule="exact"/>
        <w:rPr>
          <w:sz w:val="20"/>
          <w:szCs w:val="20"/>
          <w:color w:val="auto"/>
        </w:rPr>
      </w:pPr>
    </w:p>
    <w:p>
      <w:pPr>
        <w:ind w:left="5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7" w:name="page98"/>
    <w:bookmarkEnd w:id="97"/>
    <w:p>
      <w:pPr>
        <w:ind w:right="520"/>
        <w:spacing w:after="0" w:line="282" w:lineRule="auto"/>
        <w:rPr>
          <w:sz w:val="20"/>
          <w:szCs w:val="20"/>
          <w:color w:val="auto"/>
        </w:rPr>
      </w:pPr>
      <w:r>
        <w:rPr>
          <w:rFonts w:ascii="Times New Roman" w:cs="Times New Roman" w:eastAsia="Times New Roman" w:hAnsi="Times New Roman"/>
          <w:sz w:val="18"/>
          <w:szCs w:val="18"/>
          <w:color w:val="auto"/>
        </w:rPr>
        <w:t>agreements requiring them to do so. Our ability to enforce our contractual rights may require us to seek legal action, which could be costly and time-intensive.</w:t>
      </w:r>
    </w:p>
    <w:p>
      <w:pPr>
        <w:spacing w:after="0" w:line="16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96" w:lineRule="exact"/>
        <w:rPr>
          <w:sz w:val="20"/>
          <w:szCs w:val="20"/>
          <w:color w:val="auto"/>
        </w:rPr>
      </w:pPr>
    </w:p>
    <w:p>
      <w:pPr>
        <w:ind w:left="5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6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and may become involved with litigation or USPTO actions with various third parties. For example,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expect that the number of such types of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face and expect to continue to face allegations of patent infringement, and we may face claims regarding such allegations,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8" w:name="page99"/>
    <w:bookmarkEnd w:id="98"/>
    <w:p>
      <w:pPr>
        <w:ind w:right="100"/>
        <w:spacing w:after="0" w:line="282" w:lineRule="auto"/>
        <w:rPr>
          <w:sz w:val="20"/>
          <w:szCs w:val="20"/>
          <w:color w:val="auto"/>
        </w:rPr>
      </w:pPr>
      <w:r>
        <w:rPr>
          <w:rFonts w:ascii="Times New Roman" w:cs="Times New Roman" w:eastAsia="Times New Roman" w:hAnsi="Times New Roman"/>
          <w:sz w:val="18"/>
          <w:szCs w:val="18"/>
          <w:color w:val="auto"/>
        </w:rPr>
        <w:t>owners who have no relevant product or service revenue. Therefore, our commercial success may depend in part on our non-infringement of the patents or other rights of third parties and on our success in defending ourselves in litigation.</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9" w:name="page100"/>
    <w:bookmarkEnd w:id="99"/>
    <w:p>
      <w:pPr>
        <w:ind w:right="760"/>
        <w:spacing w:after="0" w:line="282" w:lineRule="auto"/>
        <w:rPr>
          <w:sz w:val="20"/>
          <w:szCs w:val="20"/>
          <w:color w:val="auto"/>
        </w:rPr>
      </w:pPr>
      <w:r>
        <w:rPr>
          <w:rFonts w:ascii="Times New Roman" w:cs="Times New Roman" w:eastAsia="Times New Roman" w:hAnsi="Times New Roman"/>
          <w:sz w:val="18"/>
          <w:szCs w:val="18"/>
          <w:color w:val="auto"/>
        </w:rPr>
        <w:t>price of our common stock. Such litigation or proceedings could substantially increase our operating losses and reduce the resources available for development activities or any future sales, marketing or distribution activities.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7" w:lineRule="exact"/>
        <w:rPr>
          <w:sz w:val="20"/>
          <w:szCs w:val="20"/>
          <w:color w:val="auto"/>
        </w:rPr>
      </w:pPr>
    </w:p>
    <w:p>
      <w:pPr>
        <w:ind w:left="5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0" w:name="page101"/>
    <w:bookmarkEnd w:id="100"/>
    <w:p>
      <w:pPr>
        <w:ind w:left="1020" w:right="70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ind w:left="5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extent we use open source technologies or licensed third-party technologies in our AI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w:t>
      </w:r>
    </w:p>
    <w:p>
      <w:pPr>
        <w:spacing w:after="0" w:line="291" w:lineRule="exact"/>
        <w:rPr>
          <w:sz w:val="20"/>
          <w:szCs w:val="20"/>
          <w:color w:val="auto"/>
        </w:rPr>
      </w:pPr>
    </w:p>
    <w:p>
      <w:pPr>
        <w:ind w:left="5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legislative, judicial and regulatory landscapes relating to AI are evolving and may impact our ability to use AI, and could limit our ability to operate and expand our business, cause revenue to decline and adversely affect our business.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on May 17, 2024, Colorado became the first state in the United States to pass a law that requires developers of high-risk AI systems to avoid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1" w:name="page102"/>
    <w:bookmarkEnd w:id="101"/>
    <w:p>
      <w:pPr>
        <w:ind w:right="40"/>
        <w:spacing w:after="0" w:line="281" w:lineRule="auto"/>
        <w:rPr>
          <w:sz w:val="20"/>
          <w:szCs w:val="20"/>
          <w:color w:val="auto"/>
        </w:rPr>
      </w:pPr>
      <w:r>
        <w:rPr>
          <w:rFonts w:ascii="Times New Roman" w:cs="Times New Roman" w:eastAsia="Times New Roman" w:hAnsi="Times New Roman"/>
          <w:sz w:val="17"/>
          <w:szCs w:val="17"/>
          <w:color w:val="auto"/>
        </w:rPr>
        <w:t>algorithmic discrimination involving certain AI decisions and to extensively document how the high-risk AI system was evaluated for performance and mitigation of algorithmic discrimination. The law also requires documentation of data governance measures used with the training data sets, the intended outputs of the high-risk AI system, how the AI system should and should not be used, and other aspects of the system. The law could require us to significantly alter our use of AI or how we train our algorithms, which could lead to increased costs. The law does not go into effect until February 1, 2026.</w:t>
      </w:r>
    </w:p>
    <w:p>
      <w:pPr>
        <w:spacing w:after="0" w:line="16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on July 12, 2024, the AI Act was published in the Official Journal of the European Union and will follow a phased implementation process with the bulk of its requirements becoming applicable from August 2, 2026 (including the core of the requirements relevant to the “high-risk” systems referred to below). The AI Act will establish, among other things, a risk-based governance framework for regulating AI systems in the EU. This framework would categorize AI systems, based largely on the risks associated with such AI systems’ intended purposes or their capabilities, for example, prohibiting certain “unacceptable” AI practices, classifying certain AI systems as “high-risk” systems that must meet stringent compliance requirements (including various transparency, conformity and risk assessment, monitoring, and human oversight requirements), introducing specific compliance obligations for certain “general-purpose AI systems” (more commonly known as foundation models) with all other AI systems being considered either limited risk (requiring primarily adherence to certain transparency requirements) or low risk. There is a risk that our use of AI may obligate us to comply with the applicable requirements of the AI Act, which may impose additional costs on us, increase our risk of liability or adversely affect our business.</w:t>
      </w:r>
    </w:p>
    <w:p>
      <w:pPr>
        <w:spacing w:after="0" w:line="18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Other jurisdictions may decide to adopt similar or more restrictive legislation that may render the use of such technologies challenging. We may not be able to adequately anticipate or respond to these evolving laws and regulations, and we may need to expend additional resources to adjust our offerings in certain jurisdictions if applicable legal frameworks are inconsistent across jurisdictions.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Class B common stock has 30 votes per share and our Class A common stock, has one vote per share. Our Chief Executive Officer, Founder, and Chairman, Eric Lefkofsky, who, collectively with his controlled entities, holds all our outstanding shares of Class B common stock, beneficially owned shares representing approximately 64.3% of the voting power of our outstanding capital stock </w:t>
      </w:r>
      <w:r>
        <w:rPr>
          <w:rFonts w:ascii="Times New Roman" w:cs="Times New Roman" w:eastAsia="Times New Roman" w:hAnsi="Times New Roman"/>
          <w:sz w:val="18"/>
          <w:szCs w:val="18"/>
          <w:u w:val="single" w:color="auto"/>
          <w:color w:val="auto"/>
        </w:rPr>
        <w:t>immediately</w:t>
      </w:r>
      <w:r>
        <w:rPr>
          <w:rFonts w:ascii="Times New Roman" w:cs="Times New Roman" w:eastAsia="Times New Roman" w:hAnsi="Times New Roman"/>
          <w:sz w:val="18"/>
          <w:szCs w:val="18"/>
          <w:color w:val="auto"/>
        </w:rPr>
        <w:t xml:space="preserve"> following the completion of the IPO. As a result, Mr. Lefkofsky has the ability to control the outcome of matters requiring stockholder approval, including the election of directors and approval of significant corporate transactions, such as a merger, other sale of our company or our assets or significant acquisitions, even if his stock ownership represents less than 50% of the outstanding aggregate number of shares of our capital stock. This concentration of voting control limits the ability of other stockholders to influence corporate matters and may cause us to make strategic decisions that could involve risks to you or that may not be aligned with your interests. In addition, Mr. Lefkofsky serves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4" w:lineRule="exact"/>
        <w:rPr>
          <w:sz w:val="20"/>
          <w:szCs w:val="20"/>
          <w:color w:val="auto"/>
        </w:rPr>
      </w:pPr>
    </w:p>
    <w:p>
      <w:pPr>
        <w:ind w:left="5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beneficially owns shares representing in excess of 50% of the voting power of our outstanding capital stock,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2" w:name="page103"/>
    <w:bookmarkEnd w:id="102"/>
    <w:p>
      <w:pPr>
        <w:ind w:right="140"/>
        <w:spacing w:after="0" w:line="261" w:lineRule="auto"/>
        <w:rPr>
          <w:sz w:val="20"/>
          <w:szCs w:val="20"/>
          <w:color w:val="auto"/>
        </w:rPr>
      </w:pPr>
      <w:r>
        <w:rPr>
          <w:rFonts w:ascii="Times New Roman" w:cs="Times New Roman" w:eastAsia="Times New Roman" w:hAnsi="Times New Roman"/>
          <w:sz w:val="18"/>
          <w:szCs w:val="18"/>
          <w:color w:val="auto"/>
        </w:rPr>
        <w:t>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w:t>
      </w:r>
    </w:p>
    <w:p>
      <w:pPr>
        <w:ind w:left="200" w:hanging="192"/>
        <w:spacing w:after="0"/>
        <w:tabs>
          <w:tab w:leader="none" w:pos="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announced that they would cease to allow most newly public companies utilizing dual or multi-class capital structures to be included in their</w:t>
      </w:r>
    </w:p>
    <w:p>
      <w:pPr>
        <w:spacing w:after="0" w:line="9"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public trading market for our Class A common stock may not continue to develop or be sustained.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Prior to the IPO, there was no public market for our Class A common stock. An active public trading market for our Class A common stock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7" w:lineRule="exact"/>
        <w:rPr>
          <w:sz w:val="20"/>
          <w:szCs w:val="20"/>
          <w:color w:val="auto"/>
        </w:rPr>
      </w:pPr>
    </w:p>
    <w:p>
      <w:pPr>
        <w:ind w:left="5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further incur, substantial federal and state tax withholding and remittance obligations in connection with the settlement of RSUs that vested in connection with the IPO. The manner in which we fund these tax liabilities may have an adverse effect on our financial condition.</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incurred, and expect to further incur, substantial federal and state tax obligations in light of the large number of RSUs that vested in connection with the IPO. The RSUs granted prior to the date of the IPO vest upon satisfaction of service-based and performance-based vesting conditions. We used approximately $69.9 million of the net proceeds from the IPO to satisfy federal and state tax withholding and remittance obligations in connection with the net settlement of a portion of the RSUs outstanding as of June 1, 2024 for which the service-based vesting condition was satisfied before June 14, 2024 and for which the performance-based vesting condition was satisfied in connection with the IPO, or the RSU Net Settlement. In connection with the RSU Net Settlement, we withheld certain shares underlying the applicable RSUs and remitted federal and state taxes on behalf of the holders of such RSUs at applicable statutory tax withholding rates based on the IPO per share price. For vested RSUs that were not settled in connection with the IPO (other than those held by our Chief Executive Officer), we have been satisfying, and will continue to satisfy, related federal and state tax withholding and remittance obligations by requiring such RSU holders to sell a portion of such shares into the market during the 180-day period after the date of the final prospectus filed in connection with the IPO, or the restricted period, utilizing sell-to-cover, through brokers on certain settlement dates, with the proceeds of such sales to be delivered to us for remittance to the relevant taxing authorities, or the Additional RSU Settlement. The Compensation Committee of our board of directors elected to defer the settlement of approximately 4,469,400 RSUs held by our Chief Executive Officer until the period of time commencing on January 15, 2025 and ending on or before March 15, 2025, or the CEO Deferred Settlement Period. We expect to satisfy the tax withholding and remittance obligations related to the settlements of the RSUs described above that are held by our Chief Executive Officer through the sale of approximately 1,915,988 shares of our Class A common stock (assuming a 42% tax rate) in one or more mandatory sell-to-cover transactions during the CEO Deferred Settlement Period. Shares sold by our Chief Executive Officer or other employees in sell-to-cover transactions may have an adverse effect on the market price of our Class A common stock. See “Future sales of our Class A common stock in the public market could cause the market price of our Class A common stock to decline.”</w:t>
      </w:r>
    </w:p>
    <w:p>
      <w:pPr>
        <w:spacing w:after="0" w:line="192"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Settlement and sell-to-cover transaction during the restricted period may extend over a multi-day period based on trading volumes. Because the purpose of sell-to-cover transactions is to generate proceeds sufficient to satisfy federal and state tax withholding obligations, the exact number of shares sold will depend on the sale prices of the Class A common stock in such transactions and our stockholders’ personal tax rates. However, with respect to employees that are not executive officers, if sell-to-cover proceeds are not available at the time taxes must be remitted to state and federal tax authorities, we would need to remit taxes to the relevant tax authorities using cash on hand, which may include cash proceeds generated from the IPO, pending the receipt of such sell-to-cover proceeds. If we are required to remit tax obligations on behalf of our employees without having first received proceeds from their sell-to-cover transactions, we could have significant cash outlays that could have an adverse effect on our financial condition.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our IPO, and therefore they may take steps to sell their shares or otherwise secure the unrecognized gains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on those shares. We are unable to predict the timing of or the effect that such sales may have on the prevailing market price of our Class A common stock.</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All of the Class A common stock sold in our IPO is freely tradable without restrictions or further registration under the Securities Act, except for any shares held by our affiliates as defined in Rule 144 under the Securities Act, or Rule 144, and shares subject to lock-up and market standoff agreements described below.</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all of our directors, executive officers, and the holders of substantially all of our common stock and securities exercisable for or convertible into our common stock outstanding immediately prior to the closing of the IPO (except for the RSUs previously issued to our employees other than our executive officers, including the RSUs that settled or will settle in connection with the RSU Net Settlement or the Additional RSU Settlement, as applicable, and the warrants issued to Allen and AstraZeneca), have agreed with the underwriters that, during the restricted period,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In addition, the restricted period may be shortened with respect to a portion of the locked-up securities under certain circumstances and the lock-up agreements are subject to a number of important exceptions. Morgan Stanley &amp; Co. LLC and J.P. Morgan Securities LLC may release any of the securities subject to these lock-up agreements at any time, subject to applicable notice requirements. In addition to the restrictions contained in the lock-up agreements, we have entered into market standoff agreements with substantially all of our RSU holders, including holders of the RSUs that settled or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 If not earlier released, all of the shares of Class A common stock not sold in the IPO will become eligible for sale upon the expiration of the restricted period, except for any shares held by our affiliates as defined in Rule 144.</w:t>
      </w:r>
    </w:p>
    <w:p>
      <w:pPr>
        <w:spacing w:after="0" w:line="19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pursuant to certain exceptions in the lock-up agreements and because of our ability to release RSU holders early under the market standoff agreements, approximately 3,200,000 shares of our Class A common stock have been or will be sold in the open market by our employees during the restricted period in order to satisfy tax withholding obligations in connection with the settlement of an aggregate of approximately 7,700,000 RSUs for shares of our Class A common stock (assuming an estimated 42% tax rate). The vested RSUs held by our Chief Executive Officer that were not settled at the time of the IPO will settle during the CEO Deferred Settlement Period. Such settlement and sell-to-cover transactions may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September 30, 2024. We have registered all of the shares of Class A common stock issuable upon the exercise of the outstanding option, settlement of outstanding RSUs and other equity incentives we may grant in the future for public resale under the Securities Act.</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AstraZeneca holds an outstanding warrant, pursuant to which AstraZeneca has the right to purchase $100 million in shares of our Class A common stock at an exercise price equal to the public offering price in our IPO. The shares of Class A common stock will become eligible for sale in the public market to the extent such warrant is exercised, subject to the market standoff provision included in such agreement and compliance with applicable securities laws. In addition, pursuant to the Warrant Net Exercise, Allen, an underwriter in our offering, received 109,459 shares of Class A common stock following our IPO. The shares of Class A common stock issued pursuant to the Warrant Net Exercise will become eligible for sale in the public market, subject to the market standoff provision contained in the Allen warrant agreement and compliance with applicable securities laws.</w:t>
      </w:r>
    </w:p>
    <w:p>
      <w:pPr>
        <w:spacing w:after="0" w:line="18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Further, based on shares outstanding as of June 17, 2024, the closing date of our IPO, holders of approximately 130,107,420 shares of Class A common stock and 5,043,789 shares of Class B common stock, or approximately 87.7% of our capital stock, have rights, subject to some conditions, to require us to file registration statements covering the sale of their shares or to include their shares in registration statements that we may file for ourselves or other stockholders.</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our IPO and whether or not we believe them to be prohibited, could adversely affect the price of our Class A common stock.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04" w:name="page105"/>
    <w:bookmarkEnd w:id="104"/>
    <w:p>
      <w:pPr>
        <w:ind w:left="5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lock-up agreements relating to the IPO are subject to a number of important exceptions and the restricted period pursuant to such lock-up agreements or the market standoff agreements with our RSU holders may be shortened. In addition, a significant number of shares may be sold in sell-to-cover transactions and we may issue a significant number of shares as consideration in certain transactions, including during the restricted period. As a result, a large number of shares of Class A common stock may become available for resale in the immediate future, including within 180 days after the date of the final prospectus filed in connection with the IPO, which could materially depress the market price of our Class A common stock.</w:t>
      </w:r>
    </w:p>
    <w:p>
      <w:pPr>
        <w:spacing w:after="0" w:line="7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Although we, all of our directors, executive officers, and the holders of substantially all of our common stock and securities exercisable for or convertible into our common stock outstanding immediately prior to the closing of the IPO (except for the RSUs previously issued to our employees other than our executive officers, and the warrants issued to Allen and AstraZeneca) have agreed with the underwriters that, until December 11, 2024, which is the 181st day after the date of the final prospectus filed in connection with the IPO, we and they will not offer, sell, make any short sale or otherwise dispose of any of our shares of common stock, any options or warrants to purchase any of our shares of common stock or any securities convertible into or exchangeable for or that represent the right to receive shares of our common stock, such lock-up agreements are subject to a number of important exceptions. For example, at any time during such period, we may agree to issue or issue up to 15.0% of the total number of shares of our common stock outstanding immediately following the issuance of our Class A common stock in the IPO, or 24,724,891 shares, in connection with an acquisition, merger, joint venture, strategic alliance, commercial or other collaborative relationship or certain other transactions. In addition, under the market standoff agreements that we have entered into with substantially all of our RSU holders, we have the right to release early some or all shares of our Class A common stock issuable pursuant to such RSUs, subject to the consent of Morgan Stanley &amp; Co. LLC and J.P. Morgan Securities LLC.</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Moreover, Morgan Stanley &amp; Co. LLC and J.P. Morgan Securities LLC may release any of the securities subject to these lock-up agreements at any time.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Each of the events described above may occur independently of the other events. As a result of any such event or any combination thereof, a large number of shares of our Class A common stock may become available for resale in the immediate future, including before December 11, 2024, which is the first day following the restricted period, which may materially depress the market price of our Class A common stock. In addition, some or all of these events may occur in close proximity or simultaneously, which may exacerbate their impact on the market price of our Class A common stock.</w:t>
      </w:r>
    </w:p>
    <w:p>
      <w:pPr>
        <w:spacing w:after="0" w:line="284"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0"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9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our IPO; (2) the last day of the first fiscal year in which our annual gross revenue is $1.235 billion or more; (3) the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05" w:name="page106"/>
    <w:bookmarkEnd w:id="105"/>
    <w:p>
      <w:pPr>
        <w:spacing w:after="0" w:line="282" w:lineRule="auto"/>
        <w:rPr>
          <w:sz w:val="20"/>
          <w:szCs w:val="20"/>
          <w:color w:val="auto"/>
        </w:rPr>
      </w:pPr>
      <w:r>
        <w:rPr>
          <w:rFonts w:ascii="Times New Roman" w:cs="Times New Roman" w:eastAsia="Times New Roman" w:hAnsi="Times New Roman"/>
          <w:sz w:val="18"/>
          <w:szCs w:val="18"/>
          <w:color w:val="auto"/>
        </w:rPr>
        <w:t>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80" w:lineRule="exact"/>
        <w:rPr>
          <w:sz w:val="20"/>
          <w:szCs w:val="20"/>
          <w:color w:val="auto"/>
        </w:rPr>
      </w:pPr>
    </w:p>
    <w:p>
      <w:pPr>
        <w:ind w:left="5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are in effect as of the completion of our IPO,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91"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106" w:name="page107"/>
    <w:bookmarkEnd w:id="106"/>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Class A common stock has been highly volatile, ranging from $22.89 to $77.00 per share since our IPO. The price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may fluctuate or decline substantially as a result of a variety of factors, some of which are beyond our control, including:</w:t>
      </w:r>
    </w:p>
    <w:p>
      <w:pPr>
        <w:spacing w:after="0" w:line="99"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including as a result of sell-to- cover transactions during the restricted period, as well as the anticipation of sell-to-cover transactions, lock-up releases or the expiration of the related restricted period;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4"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our IPO is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7" w:name="page108"/>
    <w:bookmarkEnd w:id="107"/>
    <w:p>
      <w:pPr>
        <w:ind w:left="5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 including the COVID-19 global pandemic.</w:t>
      </w:r>
    </w:p>
    <w:p>
      <w:pPr>
        <w:spacing w:after="0" w:line="121"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Our business could be adversely affected by the effects of health pandemics or epidemics, including the COVID-19 global pandemic. For example, the COVID-19 global pandemic and the various attempts throughout the world to contain it created significant volatility, uncertainty and disruption.</w:t>
      </w:r>
    </w:p>
    <w:p>
      <w:pPr>
        <w:spacing w:after="0" w:line="14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causes severe disruption again in the future, vendors of equipment and reagents for our operations could also reduce production or even go out of business, resulting in supply constraints for us. The COVID-19 pandemic resulted in, and could continue to cause, increased costs or delays to production and development of our products.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 operating margins, cash flows, tests performed, and other financial and operating metrics, may not be indicative of our results for future periods. For example, following a reduced demand for COVID-19 testing, we stopped offering COVID-19 PCR diagnostic tests in the first quarter of 2023. Increases in the number of diagnostic tests performed by us prior to the COVID-19 pandemic may reflect an acceleration of growth that we may not see during or after the COVID-19 pandemic.</w:t>
      </w:r>
    </w:p>
    <w:p>
      <w:pPr>
        <w:spacing w:after="0" w:line="183"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While these effects have subsided and continue to subside, the full extent to which the COVID-19 pandemic may continue to impact our performance, financial condition, volume of business, results of operations and cash flows will depend on future developments that are uncertain and cannot be accurately predicted. We cannot assure you that these effects will remain reduced in the future, including due to potential new public health outbreaks. To the extent future public health outbreaks adversely affect our business and financial results, they may also have the effect of heightening many of the other risks described in this “Risk Factors” section.</w:t>
      </w:r>
    </w:p>
    <w:p>
      <w:pPr>
        <w:spacing w:after="0" w:line="287" w:lineRule="exact"/>
        <w:rPr>
          <w:sz w:val="20"/>
          <w:szCs w:val="20"/>
          <w:color w:val="auto"/>
        </w:rPr>
      </w:pPr>
    </w:p>
    <w:p>
      <w:pPr>
        <w:ind w:left="5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one or more of which may be substantial. We also may pursue strategic alliances and additional joint ventures that leverage our Platform and industry experience to expand our product offerings or distribution. We have limited experience with acquisitions, joint ventures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8" w:name="page109"/>
    <w:bookmarkEnd w:id="108"/>
    <w:p>
      <w:pPr>
        <w:ind w:right="140"/>
        <w:spacing w:after="0" w:line="282" w:lineRule="auto"/>
        <w:rPr>
          <w:sz w:val="20"/>
          <w:szCs w:val="20"/>
          <w:color w:val="auto"/>
        </w:rPr>
      </w:pPr>
      <w:r>
        <w:rPr>
          <w:rFonts w:ascii="Times New Roman" w:cs="Times New Roman" w:eastAsia="Times New Roman" w:hAnsi="Times New Roman"/>
          <w:sz w:val="18"/>
          <w:szCs w:val="18"/>
          <w:color w:val="auto"/>
        </w:rPr>
        <w:t>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evaluate opportunities for transactions of these types from time to time. For example, on May 18, 2024, we entered into the Joint Venture Agreement (the “Joint Venture Agreement”) with SoftBank Group Corporation (“SoftBank”) to form SB Tempus Corp. (the “Joint Venture” or "SB Tempus"). The Joint Venture closed on July 18, 2024, at which time we and SoftBank each contributed ¥15 billion ($95.2 million). Each party received 50% of SB Tempus' outstanding capital stock and board seats. SB Tempus will engage in certain business activities in Japan similar to those conducted by us in the United States, including performing clinical sequencing, organizing patient data, and building a real world data business in Japan. We have limited experience forming joint ventures and we may not realize the anticipated benefits of the Joint Venture. We may also realize losses related to our investment in the Joint Venture, which could have a material negative effect on our business, financial condition and results of operations.</w:t>
      </w:r>
    </w:p>
    <w:p>
      <w:pPr>
        <w:spacing w:after="0" w:line="18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on November 4, 2024 we entered into the Purchase Agreement to acquire all of the outstanding shares of capital stock of Ambry. Pursuant to the terms of the Purchase Agreement, consideration for the Acquisition consists of $375.0 million in Cash Consideration, plus the issuance of an aggregate of 4,483,136 shares of our Class A common stock as Stock Consideration, 2,152,505 of which shares will be subject to a lock-up for a period of one year following the closing date of the Acquisition. The Acquisition is expected to close in the first quarter of 2025, subject to the satisfaction of closing conditions contained in the Purchase Agreement, including receipt of all required regulatory approvals. If the Acquisition is consummated, our stockholders will experience immediate dilution as a result of the issuance of the Stock Consideration. In addition, we intend to utilize borrowings under the Additional Term Loan and the Revolving Credit Facility to fund the Cash Consideration for the Acquisition and to pay fees and expenses related thereto. Ares’ obligation to provide the contemplated financings is subject to a number of customary conditions contained in the Commitment Letter, including the execution of definitive documentation contemplated by the Commitment Letter and the closing of the Acquisition substantially simultaneously with the initial borrowings under the Additional Term Loan and Revolving Credit Facility. There can be no assurance that the Acquisition will be consummated on the terms set forth herein or at all and, if consummated, that we will achieve the expected benefits of the Acquisition. Moreover, pursuant to the Purchase Agreement, we are obligated to consummate the Acquisition irrespective of whether or not we obtain the requisite financing. There can be no assurance that definitive documentation related to the Additional Term Loan and the Revolving Credit Facility will be entered into, or that funding thereunder will be received, on the terms set forth herein or at all, and we may be required to utilize cash on hand to fund the Cash Consideration, which could have an adverse effect on our financial condition.</w:t>
      </w:r>
    </w:p>
    <w:p>
      <w:pPr>
        <w:spacing w:after="0" w:line="19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During the period through and including December 10, 2024, which is 180 days after the date of the Final Prospectus filed in connection with the IPO, we are permitted to issue up to 15.0% of the total number of shares of our common stock outstanding immediately following this offering in connection with acquisitions, joint ventures, commercial agreements or other similar arrangements.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current law, U.S. federal net operating losses, or NOLs, incurred in taxable years beginning after December 31, 2017, can be carried forward indefinitely to offset future taxable income, but the deductibility of such U.S. federal NOL carryforwards in a taxable year is limited to 80% of taxable income in such year.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These changes may adversely affect our future cash flow.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9" w:name="page110"/>
    <w:bookmarkEnd w:id="109"/>
    <w:p>
      <w:pPr>
        <w:ind w:left="520"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2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7"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296" w:lineRule="exact"/>
        <w:rPr>
          <w:sz w:val="20"/>
          <w:szCs w:val="20"/>
          <w:color w:val="auto"/>
        </w:rPr>
      </w:pPr>
    </w:p>
    <w:p>
      <w:pPr>
        <w:ind w:left="5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6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1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While our executive officers have entered into employment agreements with us, they are at-will employees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9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0" w:name="page111"/>
    <w:bookmarkEnd w:id="110"/>
    <w:p>
      <w:pPr>
        <w:ind w:right="120"/>
        <w:spacing w:after="0" w:line="254" w:lineRule="auto"/>
        <w:rPr>
          <w:sz w:val="20"/>
          <w:szCs w:val="20"/>
          <w:color w:val="auto"/>
        </w:rPr>
      </w:pPr>
      <w:r>
        <w:rPr>
          <w:rFonts w:ascii="Times New Roman" w:cs="Times New Roman" w:eastAsia="Times New Roman" w:hAnsi="Times New Roman"/>
          <w:sz w:val="18"/>
          <w:szCs w:val="18"/>
          <w:color w:val="auto"/>
        </w:rPr>
        <w:t>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Our employees also are subject to certain post-employment noncompete obligations; however, on April 23, 2024, the FTC voted to finalize a rule banning almost all post-employment noncompetes, subject to narrow exceptions, including existing non-compete agreements with “senior executives” (as defined under the rule). If the FTC ban becomes effective, as expected, and is implemented and these noncompete obligations are therefore deemed to be unenforceable, our competitors may be more successful in recruiting our employees.</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280" w:lineRule="exact"/>
        <w:rPr>
          <w:sz w:val="20"/>
          <w:szCs w:val="20"/>
          <w:color w:val="auto"/>
        </w:rPr>
      </w:pPr>
    </w:p>
    <w:p>
      <w:pPr>
        <w:ind w:left="5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Upon completion of our IPO, we are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is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0"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Refer to Item 4. Controls and Procedures for management’s assertion with respect to the effective disclosure controls and procedures in place as of the end of the period covered by this Quarterly Report on Form 10-Q.</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1" w:name="page112"/>
    <w:bookmarkEnd w:id="111"/>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ind w:left="5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comparable foreign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96"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12" w:name="page113"/>
    <w:bookmarkEnd w:id="1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7" w:lineRule="exact"/>
        <w:rPr>
          <w:sz w:val="20"/>
          <w:szCs w:val="20"/>
          <w:color w:val="auto"/>
        </w:rPr>
      </w:pPr>
    </w:p>
    <w:p>
      <w:pPr>
        <w:ind w:left="5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8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3" w:name="page114"/>
    <w:bookmarkEnd w:id="113"/>
    <w:p>
      <w:pPr>
        <w:ind w:right="20"/>
        <w:spacing w:after="0" w:line="255" w:lineRule="auto"/>
        <w:rPr>
          <w:sz w:val="20"/>
          <w:szCs w:val="20"/>
          <w:color w:val="auto"/>
        </w:rPr>
      </w:pPr>
      <w:r>
        <w:rPr>
          <w:rFonts w:ascii="Times New Roman" w:cs="Times New Roman" w:eastAsia="Times New Roman" w:hAnsi="Times New Roman"/>
          <w:sz w:val="18"/>
          <w:szCs w:val="18"/>
          <w:color w:val="auto"/>
        </w:rPr>
        <w:t>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3" w:lineRule="exact"/>
        <w:rPr>
          <w:sz w:val="20"/>
          <w:szCs w:val="20"/>
          <w:color w:val="auto"/>
        </w:rPr>
      </w:pPr>
    </w:p>
    <w:p>
      <w:pPr>
        <w:ind w:left="5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It may be difficult and/or costly to detect, investigate, mitigate, contain, and remediate a cyber-attack or other security incident and our efforts to do so may not be successful. Actions taken by us or the third parties with whom we work to detect, investigate, mitigate, contain, and remediate a security incident could result in outages, data losses, and disruptions of our business.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14" w:name="page115"/>
    <w:bookmarkEnd w:id="114"/>
    <w:p>
      <w:pPr>
        <w:ind w:right="60"/>
        <w:spacing w:after="0" w:line="254" w:lineRule="auto"/>
        <w:rPr>
          <w:sz w:val="20"/>
          <w:szCs w:val="20"/>
          <w:color w:val="auto"/>
        </w:rPr>
      </w:pPr>
      <w:r>
        <w:rPr>
          <w:rFonts w:ascii="Times New Roman" w:cs="Times New Roman" w:eastAsia="Times New Roman" w:hAnsi="Times New Roman"/>
          <w:sz w:val="18"/>
          <w:szCs w:val="18"/>
          <w:color w:val="auto"/>
        </w:rPr>
        <w:t>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88"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Patient data may be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or certification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Our contracts may not contain limitations of liability, and even where they do, there can be no assurance that limitations of liability in our contracts are sufficient to protect us from liabilities, damages, or claims related to our data privacy and security obligations.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June 17, 2024, we completed our IPO in which we issued and sold 11,100,000 shares of Class A common stock, at a public offering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$37.00 per share. We received net proceeds of $382.0 million after deducting underwriting discounts and commissions of $28.7 million.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IPO, all shares of our then-outstanding convertible preferred stock automatically converted into an aggregate of 66,640,660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All shares sold were registered pursuant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5" w:name="page116"/>
    <w:bookmarkEnd w:id="115"/>
    <w:p>
      <w:pPr>
        <w:spacing w:after="0" w:line="261" w:lineRule="auto"/>
        <w:rPr>
          <w:sz w:val="20"/>
          <w:szCs w:val="20"/>
          <w:color w:val="auto"/>
        </w:rPr>
      </w:pPr>
      <w:r>
        <w:rPr>
          <w:rFonts w:ascii="Times New Roman" w:cs="Times New Roman" w:eastAsia="Times New Roman" w:hAnsi="Times New Roman"/>
          <w:sz w:val="18"/>
          <w:szCs w:val="18"/>
          <w:color w:val="auto"/>
        </w:rPr>
        <w:t>a registration statement on Form S-1 (File No. 333-279558), as amended (the “Registration statement”), declared effective by the SEC on June 13, 2024. Morgan Stanley &amp; Co. LLC, J.P. Morgan Securities LLC and Allen acted as representatives of the underwriters for the IPO.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1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used a portion of the net proceeds from our IPO to satisfy tax withholding and remittance obligations related to RSU Net Settlement and for working capital for the period ended September 30, 2024. There has been no material change in the expected use of the net proceeds from our IPO as described in the Final Prospectus dated as of June 13, 2024 and filed with the SEC pursuant to Rule 424(b)(4) on June 17,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Trading Arrangements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officers (as defined in Rule 16a-1(f) under the Exchange Act) adopted or terminated a “Rule 10b5-1 trading arrangement” or a “non-Rule 10b5-1 trading arrangement,” as each term is defined in Item 408 of Regulation S-K, except as set forth in the table below. Sales under each of the following plans will not commence until, at the earliest, the expiration of lock-up restrictions in connection with our IPO.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Type of Trading</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0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Shares of</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1"/>
                <w:szCs w:val="11"/>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Non-Rule</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0" w:type="dxa"/>
            <w:vAlign w:val="bottom"/>
          </w:tcPr>
          <w:p>
            <w:pPr>
              <w:spacing w:after="0"/>
              <w:rPr>
                <w:sz w:val="12"/>
                <w:szCs w:val="12"/>
                <w:color w:val="auto"/>
              </w:rPr>
            </w:pP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87"/>
        </w:trPr>
        <w:tc>
          <w:tcPr>
            <w:tcW w:w="3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10b5-1*</w:t>
            </w:r>
          </w:p>
        </w:tc>
        <w:tc>
          <w:tcPr>
            <w:tcW w:w="10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10b5-1**</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to be Sold</w:t>
            </w:r>
          </w:p>
        </w:tc>
        <w:tc>
          <w:tcPr>
            <w:tcW w:w="12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auto"/>
            </w:tcBorders>
            <w:shd w:val="clear" w:color="auto" w:fill="CFF0FA"/>
          </w:tcPr>
          <w:p>
            <w:pPr>
              <w:ind w:left="20"/>
              <w:spacing w:after="0"/>
              <w:rPr>
                <w:sz w:val="20"/>
                <w:szCs w:val="20"/>
                <w:color w:val="auto"/>
              </w:rPr>
            </w:pPr>
            <w:r>
              <w:rPr>
                <w:rFonts w:ascii="Times New Roman" w:cs="Times New Roman" w:eastAsia="Times New Roman" w:hAnsi="Times New Roman"/>
                <w:sz w:val="16"/>
                <w:szCs w:val="16"/>
                <w:color w:val="auto"/>
              </w:rPr>
              <w:t>Erik Phelps, Executive Vice President, Chief</w:t>
            </w:r>
          </w:p>
        </w:tc>
        <w:tc>
          <w:tcPr>
            <w:tcW w:w="120" w:type="dxa"/>
            <w:vAlign w:val="bottom"/>
            <w:shd w:val="clear" w:color="auto" w:fill="CFF0FA"/>
          </w:tcPr>
          <w:p>
            <w:pPr>
              <w:spacing w:after="0"/>
              <w:rPr>
                <w:sz w:val="17"/>
                <w:szCs w:val="17"/>
                <w:color w:val="auto"/>
              </w:rPr>
            </w:pPr>
          </w:p>
        </w:tc>
        <w:tc>
          <w:tcPr>
            <w:tcW w:w="1120" w:type="dxa"/>
            <w:vAlign w:val="bottom"/>
            <w:tcBorders>
              <w:top w:val="single" w:sz="8" w:color="auto"/>
            </w:tcBorders>
            <w:shd w:val="clear" w:color="auto" w:fill="CFF0FA"/>
          </w:tcPr>
          <w:p>
            <w:pPr>
              <w:spacing w:after="0"/>
              <w:rPr>
                <w:sz w:val="17"/>
                <w:szCs w:val="17"/>
                <w:color w:val="auto"/>
              </w:rPr>
            </w:pPr>
          </w:p>
        </w:tc>
        <w:tc>
          <w:tcPr>
            <w:tcW w:w="120" w:type="dxa"/>
            <w:vAlign w:val="bottom"/>
            <w:shd w:val="clear" w:color="auto" w:fill="CFF0FA"/>
          </w:tcPr>
          <w:p>
            <w:pPr>
              <w:spacing w:after="0"/>
              <w:rPr>
                <w:sz w:val="17"/>
                <w:szCs w:val="17"/>
                <w:color w:val="auto"/>
              </w:rPr>
            </w:pPr>
          </w:p>
        </w:tc>
        <w:tc>
          <w:tcPr>
            <w:tcW w:w="1480" w:type="dxa"/>
            <w:vAlign w:val="bottom"/>
            <w:tcBorders>
              <w:top w:val="single" w:sz="8" w:color="auto"/>
            </w:tcBorders>
            <w:shd w:val="clear" w:color="auto" w:fill="CFF0FA"/>
          </w:tcPr>
          <w:p>
            <w:pPr>
              <w:spacing w:after="0"/>
              <w:rPr>
                <w:sz w:val="17"/>
                <w:szCs w:val="17"/>
                <w:color w:val="auto"/>
              </w:rPr>
            </w:pPr>
          </w:p>
        </w:tc>
        <w:tc>
          <w:tcPr>
            <w:tcW w:w="100" w:type="dxa"/>
            <w:vAlign w:val="bottom"/>
            <w:shd w:val="clear" w:color="auto" w:fill="CFF0FA"/>
          </w:tcPr>
          <w:p>
            <w:pPr>
              <w:spacing w:after="0"/>
              <w:rPr>
                <w:sz w:val="17"/>
                <w:szCs w:val="17"/>
                <w:color w:val="auto"/>
              </w:rPr>
            </w:pPr>
          </w:p>
        </w:tc>
        <w:tc>
          <w:tcPr>
            <w:tcW w:w="800" w:type="dxa"/>
            <w:vAlign w:val="bottom"/>
            <w:tcBorders>
              <w:top w:val="single" w:sz="8" w:color="auto"/>
            </w:tcBorders>
            <w:shd w:val="clear" w:color="auto" w:fill="CFF0FA"/>
          </w:tcPr>
          <w:p>
            <w:pPr>
              <w:spacing w:after="0"/>
              <w:rPr>
                <w:sz w:val="17"/>
                <w:szCs w:val="17"/>
                <w:color w:val="auto"/>
              </w:rPr>
            </w:pPr>
          </w:p>
        </w:tc>
        <w:tc>
          <w:tcPr>
            <w:tcW w:w="100" w:type="dxa"/>
            <w:vAlign w:val="bottom"/>
            <w:shd w:val="clear" w:color="auto" w:fill="CFF0FA"/>
          </w:tcPr>
          <w:p>
            <w:pPr>
              <w:spacing w:after="0"/>
              <w:rPr>
                <w:sz w:val="17"/>
                <w:szCs w:val="17"/>
                <w:color w:val="auto"/>
              </w:rPr>
            </w:pPr>
          </w:p>
        </w:tc>
        <w:tc>
          <w:tcPr>
            <w:tcW w:w="780" w:type="dxa"/>
            <w:vAlign w:val="bottom"/>
            <w:tcBorders>
              <w:top w:val="single" w:sz="8" w:color="auto"/>
            </w:tcBorders>
            <w:shd w:val="clear" w:color="auto" w:fill="CFF0FA"/>
          </w:tcPr>
          <w:p>
            <w:pPr>
              <w:spacing w:after="0"/>
              <w:rPr>
                <w:sz w:val="17"/>
                <w:szCs w:val="17"/>
                <w:color w:val="auto"/>
              </w:rPr>
            </w:pPr>
          </w:p>
        </w:tc>
        <w:tc>
          <w:tcPr>
            <w:tcW w:w="100" w:type="dxa"/>
            <w:vAlign w:val="bottom"/>
            <w:shd w:val="clear" w:color="auto" w:fill="CFF0FA"/>
          </w:tcPr>
          <w:p>
            <w:pPr>
              <w:spacing w:after="0"/>
              <w:rPr>
                <w:sz w:val="17"/>
                <w:szCs w:val="17"/>
                <w:color w:val="auto"/>
              </w:rPr>
            </w:pPr>
          </w:p>
        </w:tc>
        <w:tc>
          <w:tcPr>
            <w:tcW w:w="1340" w:type="dxa"/>
            <w:vAlign w:val="bottom"/>
            <w:tcBorders>
              <w:top w:val="single" w:sz="8" w:color="auto"/>
            </w:tcBorders>
            <w:shd w:val="clear" w:color="auto" w:fill="CFF0FA"/>
          </w:tcPr>
          <w:p>
            <w:pPr>
              <w:spacing w:after="0"/>
              <w:rPr>
                <w:sz w:val="17"/>
                <w:szCs w:val="17"/>
                <w:color w:val="auto"/>
              </w:rPr>
            </w:pPr>
          </w:p>
        </w:tc>
        <w:tc>
          <w:tcPr>
            <w:tcW w:w="120" w:type="dxa"/>
            <w:vAlign w:val="bottom"/>
            <w:shd w:val="clear" w:color="auto" w:fill="CFF0FA"/>
          </w:tcPr>
          <w:p>
            <w:pPr>
              <w:spacing w:after="0"/>
              <w:rPr>
                <w:sz w:val="17"/>
                <w:szCs w:val="17"/>
                <w:color w:val="auto"/>
              </w:rPr>
            </w:pPr>
          </w:p>
        </w:tc>
        <w:tc>
          <w:tcPr>
            <w:tcW w:w="1560" w:type="dxa"/>
            <w:vAlign w:val="bottom"/>
            <w:tcBorders>
              <w:top w:val="single" w:sz="8" w:color="auto"/>
            </w:tcBorders>
            <w:shd w:val="clear" w:color="auto" w:fill="CFF0F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A"/>
          </w:tcPr>
          <w:p>
            <w:pPr>
              <w:ind w:left="140"/>
              <w:spacing w:after="0"/>
              <w:rPr>
                <w:sz w:val="20"/>
                <w:szCs w:val="20"/>
                <w:color w:val="auto"/>
              </w:rPr>
            </w:pPr>
            <w:r>
              <w:rPr>
                <w:rFonts w:ascii="Times New Roman" w:cs="Times New Roman" w:eastAsia="Times New Roman" w:hAnsi="Times New Roman"/>
                <w:sz w:val="16"/>
                <w:szCs w:val="16"/>
                <w:color w:val="auto"/>
              </w:rPr>
              <w:t>Administrative and Legal Officer and</w:t>
            </w:r>
          </w:p>
        </w:tc>
        <w:tc>
          <w:tcPr>
            <w:tcW w:w="120" w:type="dxa"/>
            <w:vAlign w:val="bottom"/>
            <w:shd w:val="clear" w:color="auto" w:fill="CFF0FA"/>
          </w:tcPr>
          <w:p>
            <w:pPr>
              <w:spacing w:after="0"/>
              <w:rPr>
                <w:sz w:val="17"/>
                <w:szCs w:val="17"/>
                <w:color w:val="auto"/>
              </w:rPr>
            </w:pPr>
          </w:p>
        </w:tc>
        <w:tc>
          <w:tcPr>
            <w:tcW w:w="1120" w:type="dxa"/>
            <w:vAlign w:val="bottom"/>
            <w:vMerge w:val="restart"/>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6"/>
              </w:rPr>
              <w:t>Modification</w:t>
            </w:r>
            <w:r>
              <w:rPr>
                <w:rFonts w:ascii="Times New Roman" w:cs="Times New Roman" w:eastAsia="Times New Roman" w:hAnsi="Times New Roman"/>
                <w:sz w:val="21"/>
                <w:szCs w:val="21"/>
                <w:color w:val="auto"/>
                <w:w w:val="96"/>
                <w:vertAlign w:val="superscript"/>
              </w:rPr>
              <w:t>(1)</w:t>
            </w:r>
          </w:p>
        </w:tc>
        <w:tc>
          <w:tcPr>
            <w:tcW w:w="120" w:type="dxa"/>
            <w:vAlign w:val="bottom"/>
            <w:shd w:val="clear" w:color="auto" w:fill="CFF0FA"/>
          </w:tcPr>
          <w:p>
            <w:pPr>
              <w:spacing w:after="0"/>
              <w:rPr>
                <w:sz w:val="17"/>
                <w:szCs w:val="17"/>
                <w:color w:val="auto"/>
              </w:rPr>
            </w:pPr>
          </w:p>
        </w:tc>
        <w:tc>
          <w:tcPr>
            <w:tcW w:w="1480" w:type="dxa"/>
            <w:vAlign w:val="bottom"/>
            <w:shd w:val="clear" w:color="auto" w:fill="CFF0FA"/>
          </w:tcPr>
          <w:p>
            <w:pPr>
              <w:spacing w:after="0"/>
              <w:rPr>
                <w:sz w:val="17"/>
                <w:szCs w:val="17"/>
                <w:color w:val="auto"/>
              </w:rPr>
            </w:pPr>
          </w:p>
        </w:tc>
        <w:tc>
          <w:tcPr>
            <w:tcW w:w="100" w:type="dxa"/>
            <w:vAlign w:val="bottom"/>
            <w:shd w:val="clear" w:color="auto" w:fill="CFF0FA"/>
          </w:tcPr>
          <w:p>
            <w:pPr>
              <w:spacing w:after="0"/>
              <w:rPr>
                <w:sz w:val="17"/>
                <w:szCs w:val="17"/>
                <w:color w:val="auto"/>
              </w:rPr>
            </w:pPr>
          </w:p>
        </w:tc>
        <w:tc>
          <w:tcPr>
            <w:tcW w:w="800" w:type="dxa"/>
            <w:vAlign w:val="bottom"/>
            <w:shd w:val="clear" w:color="auto" w:fill="CFF0FA"/>
          </w:tcPr>
          <w:p>
            <w:pPr>
              <w:spacing w:after="0"/>
              <w:rPr>
                <w:sz w:val="17"/>
                <w:szCs w:val="17"/>
                <w:color w:val="auto"/>
              </w:rPr>
            </w:pPr>
          </w:p>
        </w:tc>
        <w:tc>
          <w:tcPr>
            <w:tcW w:w="100" w:type="dxa"/>
            <w:vAlign w:val="bottom"/>
            <w:shd w:val="clear" w:color="auto" w:fill="CFF0FA"/>
          </w:tcPr>
          <w:p>
            <w:pPr>
              <w:spacing w:after="0"/>
              <w:rPr>
                <w:sz w:val="17"/>
                <w:szCs w:val="17"/>
                <w:color w:val="auto"/>
              </w:rPr>
            </w:pPr>
          </w:p>
        </w:tc>
        <w:tc>
          <w:tcPr>
            <w:tcW w:w="780" w:type="dxa"/>
            <w:vAlign w:val="bottom"/>
            <w:shd w:val="clear" w:color="auto" w:fill="CFF0FA"/>
          </w:tcPr>
          <w:p>
            <w:pPr>
              <w:spacing w:after="0"/>
              <w:rPr>
                <w:sz w:val="17"/>
                <w:szCs w:val="17"/>
                <w:color w:val="auto"/>
              </w:rPr>
            </w:pPr>
          </w:p>
        </w:tc>
        <w:tc>
          <w:tcPr>
            <w:tcW w:w="100" w:type="dxa"/>
            <w:vAlign w:val="bottom"/>
            <w:shd w:val="clear" w:color="auto" w:fill="CFF0FA"/>
          </w:tcPr>
          <w:p>
            <w:pPr>
              <w:spacing w:after="0"/>
              <w:rPr>
                <w:sz w:val="17"/>
                <w:szCs w:val="17"/>
                <w:color w:val="auto"/>
              </w:rPr>
            </w:pPr>
          </w:p>
        </w:tc>
        <w:tc>
          <w:tcPr>
            <w:tcW w:w="1340" w:type="dxa"/>
            <w:vAlign w:val="bottom"/>
            <w:shd w:val="clear" w:color="auto" w:fill="CFF0FA"/>
          </w:tcPr>
          <w:p>
            <w:pPr>
              <w:spacing w:after="0"/>
              <w:rPr>
                <w:sz w:val="17"/>
                <w:szCs w:val="17"/>
                <w:color w:val="auto"/>
              </w:rPr>
            </w:pPr>
          </w:p>
        </w:tc>
        <w:tc>
          <w:tcPr>
            <w:tcW w:w="120" w:type="dxa"/>
            <w:vAlign w:val="bottom"/>
            <w:shd w:val="clear" w:color="auto" w:fill="CFF0FA"/>
          </w:tcPr>
          <w:p>
            <w:pPr>
              <w:spacing w:after="0"/>
              <w:rPr>
                <w:sz w:val="17"/>
                <w:szCs w:val="17"/>
                <w:color w:val="auto"/>
              </w:rPr>
            </w:pPr>
          </w:p>
        </w:tc>
        <w:tc>
          <w:tcPr>
            <w:tcW w:w="1560" w:type="dxa"/>
            <w:vAlign w:val="bottom"/>
            <w:shd w:val="clear" w:color="auto" w:fill="CFF0F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A"/>
          </w:tcPr>
          <w:p>
            <w:pPr>
              <w:ind w:left="140"/>
              <w:spacing w:after="0"/>
              <w:rPr>
                <w:sz w:val="20"/>
                <w:szCs w:val="20"/>
                <w:color w:val="auto"/>
              </w:rPr>
            </w:pPr>
            <w:r>
              <w:rPr>
                <w:rFonts w:ascii="Times New Roman" w:cs="Times New Roman" w:eastAsia="Times New Roman" w:hAnsi="Times New Roman"/>
                <w:sz w:val="16"/>
                <w:szCs w:val="16"/>
                <w:color w:val="auto"/>
              </w:rPr>
              <w:t>Assistant Secretary</w:t>
            </w:r>
          </w:p>
        </w:tc>
        <w:tc>
          <w:tcPr>
            <w:tcW w:w="120" w:type="dxa"/>
            <w:vAlign w:val="bottom"/>
            <w:shd w:val="clear" w:color="auto" w:fill="CFF0FA"/>
          </w:tcPr>
          <w:p>
            <w:pPr>
              <w:spacing w:after="0"/>
              <w:rPr>
                <w:sz w:val="19"/>
                <w:szCs w:val="19"/>
                <w:color w:val="auto"/>
              </w:rPr>
            </w:pPr>
          </w:p>
        </w:tc>
        <w:tc>
          <w:tcPr>
            <w:tcW w:w="1120" w:type="dxa"/>
            <w:vAlign w:val="bottom"/>
            <w:vMerge w:val="continue"/>
            <w:shd w:val="clear" w:color="auto" w:fill="CFF0FA"/>
          </w:tcPr>
          <w:p>
            <w:pPr>
              <w:spacing w:after="0"/>
              <w:rPr>
                <w:sz w:val="19"/>
                <w:szCs w:val="19"/>
                <w:color w:val="auto"/>
              </w:rPr>
            </w:pPr>
          </w:p>
        </w:tc>
        <w:tc>
          <w:tcPr>
            <w:tcW w:w="120" w:type="dxa"/>
            <w:vAlign w:val="bottom"/>
            <w:shd w:val="clear" w:color="auto" w:fill="CFF0FA"/>
          </w:tcPr>
          <w:p>
            <w:pPr>
              <w:spacing w:after="0"/>
              <w:rPr>
                <w:sz w:val="19"/>
                <w:szCs w:val="19"/>
                <w:color w:val="auto"/>
              </w:rPr>
            </w:pPr>
          </w:p>
        </w:tc>
        <w:tc>
          <w:tcPr>
            <w:tcW w:w="1580" w:type="dxa"/>
            <w:vAlign w:val="bottom"/>
            <w:gridSpan w:val="2"/>
            <w:shd w:val="clear" w:color="auto" w:fill="CFF0FA"/>
          </w:tcPr>
          <w:p>
            <w:pPr>
              <w:jc w:val="center"/>
              <w:ind w:right="80"/>
              <w:spacing w:after="0"/>
              <w:rPr>
                <w:sz w:val="20"/>
                <w:szCs w:val="20"/>
                <w:color w:val="auto"/>
              </w:rPr>
            </w:pPr>
            <w:r>
              <w:rPr>
                <w:rFonts w:ascii="Times New Roman" w:cs="Times New Roman" w:eastAsia="Times New Roman" w:hAnsi="Times New Roman"/>
                <w:sz w:val="16"/>
                <w:szCs w:val="16"/>
                <w:color w:val="auto"/>
              </w:rPr>
              <w:t>September 6, 2024</w:t>
            </w:r>
          </w:p>
        </w:tc>
        <w:tc>
          <w:tcPr>
            <w:tcW w:w="80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shd w:val="clear" w:color="auto" w:fill="CFF0FA"/>
          </w:tcPr>
          <w:p>
            <w:pPr>
              <w:spacing w:after="0"/>
              <w:rPr>
                <w:sz w:val="19"/>
                <w:szCs w:val="19"/>
                <w:color w:val="auto"/>
              </w:rPr>
            </w:pPr>
          </w:p>
        </w:tc>
        <w:tc>
          <w:tcPr>
            <w:tcW w:w="780" w:type="dxa"/>
            <w:vAlign w:val="bottom"/>
            <w:shd w:val="clear" w:color="auto" w:fill="CFF0FA"/>
          </w:tcPr>
          <w:p>
            <w:pPr>
              <w:spacing w:after="0"/>
              <w:rPr>
                <w:sz w:val="19"/>
                <w:szCs w:val="19"/>
                <w:color w:val="auto"/>
              </w:rPr>
            </w:pPr>
          </w:p>
        </w:tc>
        <w:tc>
          <w:tcPr>
            <w:tcW w:w="1440" w:type="dxa"/>
            <w:vAlign w:val="bottom"/>
            <w:gridSpan w:val="2"/>
            <w:shd w:val="clear" w:color="auto" w:fill="CFF0FA"/>
          </w:tcPr>
          <w:p>
            <w:pPr>
              <w:jc w:val="center"/>
              <w:ind w:left="39"/>
              <w:spacing w:after="0"/>
              <w:rPr>
                <w:sz w:val="20"/>
                <w:szCs w:val="20"/>
                <w:color w:val="auto"/>
              </w:rPr>
            </w:pPr>
            <w:r>
              <w:rPr>
                <w:rFonts w:ascii="Times New Roman" w:cs="Times New Roman" w:eastAsia="Times New Roman" w:hAnsi="Times New Roman"/>
                <w:sz w:val="16"/>
                <w:szCs w:val="16"/>
                <w:color w:val="auto"/>
                <w:w w:val="99"/>
              </w:rPr>
              <w:t>205,272</w:t>
            </w:r>
          </w:p>
        </w:tc>
        <w:tc>
          <w:tcPr>
            <w:tcW w:w="120" w:type="dxa"/>
            <w:vAlign w:val="bottom"/>
            <w:shd w:val="clear" w:color="auto" w:fill="CFF0FA"/>
          </w:tcPr>
          <w:p>
            <w:pPr>
              <w:spacing w:after="0"/>
              <w:rPr>
                <w:sz w:val="19"/>
                <w:szCs w:val="19"/>
                <w:color w:val="auto"/>
              </w:rPr>
            </w:pPr>
          </w:p>
        </w:tc>
        <w:tc>
          <w:tcPr>
            <w:tcW w:w="156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September 6, 2025</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Andrew Polovin, Executive Vice President,</w:t>
            </w:r>
          </w:p>
        </w:tc>
        <w:tc>
          <w:tcPr>
            <w:tcW w:w="12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Modification</w:t>
            </w:r>
            <w:r>
              <w:rPr>
                <w:rFonts w:ascii="Times New Roman" w:cs="Times New Roman" w:eastAsia="Times New Roman" w:hAnsi="Times New Roman"/>
                <w:sz w:val="21"/>
                <w:szCs w:val="21"/>
                <w:color w:val="auto"/>
                <w:w w:val="96"/>
                <w:vertAlign w:val="superscript"/>
              </w:rPr>
              <w:t>(1)</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To Be</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2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6,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Determined</w:t>
            </w:r>
            <w:r>
              <w:rPr>
                <w:rFonts w:ascii="Times New Roman" w:cs="Times New Roman" w:eastAsia="Times New Roman" w:hAnsi="Times New Roman"/>
                <w:sz w:val="21"/>
                <w:szCs w:val="21"/>
                <w:color w:val="auto"/>
                <w:w w:val="95"/>
                <w:vertAlign w:val="superscript"/>
              </w:rPr>
              <w:t>(2)</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6, 2025</w:t>
            </w:r>
          </w:p>
        </w:tc>
        <w:tc>
          <w:tcPr>
            <w:tcW w:w="0" w:type="dxa"/>
            <w:vAlign w:val="bottom"/>
          </w:tcPr>
          <w:p>
            <w:pPr>
              <w:spacing w:after="0"/>
              <w:rPr>
                <w:sz w:val="1"/>
                <w:szCs w:val="1"/>
                <w:color w:val="auto"/>
              </w:rPr>
            </w:pPr>
          </w:p>
        </w:tc>
      </w:tr>
      <w:tr>
        <w:trPr>
          <w:trHeight w:val="175"/>
        </w:trPr>
        <w:tc>
          <w:tcPr>
            <w:tcW w:w="3500" w:type="dxa"/>
            <w:vAlign w:val="bottom"/>
            <w:shd w:val="clear" w:color="auto" w:fill="CFF0FA"/>
          </w:tcPr>
          <w:p>
            <w:pPr>
              <w:ind w:left="20"/>
              <w:spacing w:after="0" w:line="175" w:lineRule="exact"/>
              <w:rPr>
                <w:sz w:val="20"/>
                <w:szCs w:val="20"/>
                <w:color w:val="auto"/>
              </w:rPr>
            </w:pPr>
            <w:r>
              <w:rPr>
                <w:rFonts w:ascii="Times New Roman" w:cs="Times New Roman" w:eastAsia="Times New Roman" w:hAnsi="Times New Roman"/>
                <w:sz w:val="16"/>
                <w:szCs w:val="16"/>
                <w:color w:val="auto"/>
              </w:rPr>
              <w:t>James Rogers, Chief Financial Officer</w:t>
            </w:r>
          </w:p>
        </w:tc>
        <w:tc>
          <w:tcPr>
            <w:tcW w:w="120" w:type="dxa"/>
            <w:vAlign w:val="bottom"/>
            <w:shd w:val="clear" w:color="auto" w:fill="CFF0FA"/>
          </w:tcPr>
          <w:p>
            <w:pPr>
              <w:spacing w:after="0"/>
              <w:rPr>
                <w:sz w:val="15"/>
                <w:szCs w:val="15"/>
                <w:color w:val="auto"/>
              </w:rPr>
            </w:pPr>
          </w:p>
        </w:tc>
        <w:tc>
          <w:tcPr>
            <w:tcW w:w="1120" w:type="dxa"/>
            <w:vAlign w:val="bottom"/>
            <w:vMerge w:val="restart"/>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6"/>
              </w:rPr>
              <w:t>Modification</w:t>
            </w:r>
            <w:r>
              <w:rPr>
                <w:rFonts w:ascii="Times New Roman" w:cs="Times New Roman" w:eastAsia="Times New Roman" w:hAnsi="Times New Roman"/>
                <w:sz w:val="21"/>
                <w:szCs w:val="21"/>
                <w:color w:val="auto"/>
                <w:w w:val="96"/>
                <w:vertAlign w:val="superscript"/>
              </w:rPr>
              <w:t>(1)</w:t>
            </w:r>
          </w:p>
        </w:tc>
        <w:tc>
          <w:tcPr>
            <w:tcW w:w="120" w:type="dxa"/>
            <w:vAlign w:val="bottom"/>
            <w:shd w:val="clear" w:color="auto" w:fill="CFF0FA"/>
          </w:tcPr>
          <w:p>
            <w:pPr>
              <w:spacing w:after="0"/>
              <w:rPr>
                <w:sz w:val="15"/>
                <w:szCs w:val="15"/>
                <w:color w:val="auto"/>
              </w:rPr>
            </w:pPr>
          </w:p>
        </w:tc>
        <w:tc>
          <w:tcPr>
            <w:tcW w:w="1480" w:type="dxa"/>
            <w:vAlign w:val="bottom"/>
            <w:shd w:val="clear" w:color="auto" w:fill="CFF0FA"/>
          </w:tcPr>
          <w:p>
            <w:pPr>
              <w:spacing w:after="0"/>
              <w:rPr>
                <w:sz w:val="15"/>
                <w:szCs w:val="15"/>
                <w:color w:val="auto"/>
              </w:rPr>
            </w:pPr>
          </w:p>
        </w:tc>
        <w:tc>
          <w:tcPr>
            <w:tcW w:w="100" w:type="dxa"/>
            <w:vAlign w:val="bottom"/>
            <w:shd w:val="clear" w:color="auto" w:fill="CFF0FA"/>
          </w:tcPr>
          <w:p>
            <w:pPr>
              <w:spacing w:after="0"/>
              <w:rPr>
                <w:sz w:val="15"/>
                <w:szCs w:val="15"/>
                <w:color w:val="auto"/>
              </w:rPr>
            </w:pPr>
          </w:p>
        </w:tc>
        <w:tc>
          <w:tcPr>
            <w:tcW w:w="800" w:type="dxa"/>
            <w:vAlign w:val="bottom"/>
            <w:shd w:val="clear" w:color="auto" w:fill="CFF0FA"/>
          </w:tcPr>
          <w:p>
            <w:pPr>
              <w:spacing w:after="0"/>
              <w:rPr>
                <w:sz w:val="15"/>
                <w:szCs w:val="15"/>
                <w:color w:val="auto"/>
              </w:rPr>
            </w:pPr>
          </w:p>
        </w:tc>
        <w:tc>
          <w:tcPr>
            <w:tcW w:w="100" w:type="dxa"/>
            <w:vAlign w:val="bottom"/>
            <w:shd w:val="clear" w:color="auto" w:fill="CFF0FA"/>
          </w:tcPr>
          <w:p>
            <w:pPr>
              <w:spacing w:after="0"/>
              <w:rPr>
                <w:sz w:val="15"/>
                <w:szCs w:val="15"/>
                <w:color w:val="auto"/>
              </w:rPr>
            </w:pPr>
          </w:p>
        </w:tc>
        <w:tc>
          <w:tcPr>
            <w:tcW w:w="780" w:type="dxa"/>
            <w:vAlign w:val="bottom"/>
            <w:shd w:val="clear" w:color="auto" w:fill="CFF0FA"/>
          </w:tcPr>
          <w:p>
            <w:pPr>
              <w:spacing w:after="0"/>
              <w:rPr>
                <w:sz w:val="15"/>
                <w:szCs w:val="15"/>
                <w:color w:val="auto"/>
              </w:rPr>
            </w:pPr>
          </w:p>
        </w:tc>
        <w:tc>
          <w:tcPr>
            <w:tcW w:w="100" w:type="dxa"/>
            <w:vAlign w:val="bottom"/>
            <w:shd w:val="clear" w:color="auto" w:fill="CFF0FA"/>
          </w:tcPr>
          <w:p>
            <w:pPr>
              <w:spacing w:after="0"/>
              <w:rPr>
                <w:sz w:val="15"/>
                <w:szCs w:val="15"/>
                <w:color w:val="auto"/>
              </w:rPr>
            </w:pPr>
          </w:p>
        </w:tc>
        <w:tc>
          <w:tcPr>
            <w:tcW w:w="1340" w:type="dxa"/>
            <w:vAlign w:val="bottom"/>
            <w:shd w:val="clear" w:color="auto" w:fill="CFF0FA"/>
          </w:tcPr>
          <w:p>
            <w:pPr>
              <w:jc w:val="center"/>
              <w:spacing w:after="0" w:line="175" w:lineRule="exact"/>
              <w:rPr>
                <w:sz w:val="20"/>
                <w:szCs w:val="20"/>
                <w:color w:val="auto"/>
              </w:rPr>
            </w:pPr>
            <w:r>
              <w:rPr>
                <w:rFonts w:ascii="Times New Roman" w:cs="Times New Roman" w:eastAsia="Times New Roman" w:hAnsi="Times New Roman"/>
                <w:sz w:val="16"/>
                <w:szCs w:val="16"/>
                <w:color w:val="auto"/>
              </w:rPr>
              <w:t>To Be</w:t>
            </w:r>
          </w:p>
        </w:tc>
        <w:tc>
          <w:tcPr>
            <w:tcW w:w="120" w:type="dxa"/>
            <w:vAlign w:val="bottom"/>
            <w:shd w:val="clear" w:color="auto" w:fill="CFF0FA"/>
          </w:tcPr>
          <w:p>
            <w:pPr>
              <w:spacing w:after="0"/>
              <w:rPr>
                <w:sz w:val="15"/>
                <w:szCs w:val="15"/>
                <w:color w:val="auto"/>
              </w:rPr>
            </w:pPr>
          </w:p>
        </w:tc>
        <w:tc>
          <w:tcPr>
            <w:tcW w:w="1560" w:type="dxa"/>
            <w:vAlign w:val="bottom"/>
            <w:shd w:val="clear" w:color="auto" w:fill="CFF0FA"/>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FF0FA"/>
          </w:tcPr>
          <w:p>
            <w:pPr>
              <w:spacing w:after="0"/>
              <w:rPr>
                <w:sz w:val="22"/>
                <w:szCs w:val="22"/>
                <w:color w:val="auto"/>
              </w:rPr>
            </w:pPr>
          </w:p>
        </w:tc>
        <w:tc>
          <w:tcPr>
            <w:tcW w:w="120" w:type="dxa"/>
            <w:vAlign w:val="bottom"/>
            <w:shd w:val="clear" w:color="auto" w:fill="CFF0FA"/>
          </w:tcPr>
          <w:p>
            <w:pPr>
              <w:spacing w:after="0"/>
              <w:rPr>
                <w:sz w:val="22"/>
                <w:szCs w:val="22"/>
                <w:color w:val="auto"/>
              </w:rPr>
            </w:pPr>
          </w:p>
        </w:tc>
        <w:tc>
          <w:tcPr>
            <w:tcW w:w="1120" w:type="dxa"/>
            <w:vAlign w:val="bottom"/>
            <w:vMerge w:val="continue"/>
            <w:shd w:val="clear" w:color="auto" w:fill="CFF0FA"/>
          </w:tcPr>
          <w:p>
            <w:pPr>
              <w:spacing w:after="0"/>
              <w:rPr>
                <w:sz w:val="22"/>
                <w:szCs w:val="22"/>
                <w:color w:val="auto"/>
              </w:rPr>
            </w:pPr>
          </w:p>
        </w:tc>
        <w:tc>
          <w:tcPr>
            <w:tcW w:w="120" w:type="dxa"/>
            <w:vAlign w:val="bottom"/>
            <w:shd w:val="clear" w:color="auto" w:fill="CFF0FA"/>
          </w:tcPr>
          <w:p>
            <w:pPr>
              <w:spacing w:after="0"/>
              <w:rPr>
                <w:sz w:val="22"/>
                <w:szCs w:val="22"/>
                <w:color w:val="auto"/>
              </w:rPr>
            </w:pPr>
          </w:p>
        </w:tc>
        <w:tc>
          <w:tcPr>
            <w:tcW w:w="1580" w:type="dxa"/>
            <w:vAlign w:val="bottom"/>
            <w:gridSpan w:val="2"/>
            <w:shd w:val="clear" w:color="auto" w:fill="CFF0FA"/>
          </w:tcPr>
          <w:p>
            <w:pPr>
              <w:jc w:val="center"/>
              <w:ind w:right="80"/>
              <w:spacing w:after="0"/>
              <w:rPr>
                <w:sz w:val="20"/>
                <w:szCs w:val="20"/>
                <w:color w:val="auto"/>
              </w:rPr>
            </w:pPr>
            <w:r>
              <w:rPr>
                <w:rFonts w:ascii="Times New Roman" w:cs="Times New Roman" w:eastAsia="Times New Roman" w:hAnsi="Times New Roman"/>
                <w:sz w:val="16"/>
                <w:szCs w:val="16"/>
                <w:color w:val="auto"/>
              </w:rPr>
              <w:t>September 6, 2024</w:t>
            </w:r>
          </w:p>
        </w:tc>
        <w:tc>
          <w:tcPr>
            <w:tcW w:w="80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shd w:val="clear" w:color="auto" w:fill="CFF0FA"/>
          </w:tcPr>
          <w:p>
            <w:pPr>
              <w:spacing w:after="0"/>
              <w:rPr>
                <w:sz w:val="22"/>
                <w:szCs w:val="22"/>
                <w:color w:val="auto"/>
              </w:rPr>
            </w:pPr>
          </w:p>
        </w:tc>
        <w:tc>
          <w:tcPr>
            <w:tcW w:w="780" w:type="dxa"/>
            <w:vAlign w:val="bottom"/>
            <w:shd w:val="clear" w:color="auto" w:fill="CFF0FA"/>
          </w:tcPr>
          <w:p>
            <w:pPr>
              <w:spacing w:after="0"/>
              <w:rPr>
                <w:sz w:val="22"/>
                <w:szCs w:val="22"/>
                <w:color w:val="auto"/>
              </w:rPr>
            </w:pPr>
          </w:p>
        </w:tc>
        <w:tc>
          <w:tcPr>
            <w:tcW w:w="100" w:type="dxa"/>
            <w:vAlign w:val="bottom"/>
            <w:shd w:val="clear" w:color="auto" w:fill="CFF0FA"/>
          </w:tcPr>
          <w:p>
            <w:pPr>
              <w:spacing w:after="0"/>
              <w:rPr>
                <w:sz w:val="22"/>
                <w:szCs w:val="22"/>
                <w:color w:val="auto"/>
              </w:rPr>
            </w:pPr>
          </w:p>
        </w:tc>
        <w:tc>
          <w:tcPr>
            <w:tcW w:w="134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5"/>
              </w:rPr>
              <w:t>Determined</w:t>
            </w:r>
            <w:r>
              <w:rPr>
                <w:rFonts w:ascii="Times New Roman" w:cs="Times New Roman" w:eastAsia="Times New Roman" w:hAnsi="Times New Roman"/>
                <w:sz w:val="21"/>
                <w:szCs w:val="21"/>
                <w:color w:val="auto"/>
                <w:w w:val="95"/>
                <w:vertAlign w:val="superscript"/>
              </w:rPr>
              <w:t>(3)</w:t>
            </w:r>
          </w:p>
        </w:tc>
        <w:tc>
          <w:tcPr>
            <w:tcW w:w="120" w:type="dxa"/>
            <w:vAlign w:val="bottom"/>
            <w:shd w:val="clear" w:color="auto" w:fill="CFF0FA"/>
          </w:tcPr>
          <w:p>
            <w:pPr>
              <w:spacing w:after="0"/>
              <w:rPr>
                <w:sz w:val="22"/>
                <w:szCs w:val="22"/>
                <w:color w:val="auto"/>
              </w:rPr>
            </w:pPr>
          </w:p>
        </w:tc>
        <w:tc>
          <w:tcPr>
            <w:tcW w:w="156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September 6, 2025</w:t>
            </w:r>
          </w:p>
        </w:tc>
        <w:tc>
          <w:tcPr>
            <w:tcW w:w="0" w:type="dxa"/>
            <w:vAlign w:val="bottom"/>
          </w:tcPr>
          <w:p>
            <w:pPr>
              <w:spacing w:after="0"/>
              <w:rPr>
                <w:sz w:val="1"/>
                <w:szCs w:val="1"/>
                <w:color w:val="auto"/>
              </w:rPr>
            </w:pPr>
          </w:p>
        </w:tc>
      </w:tr>
      <w:tr>
        <w:trPr>
          <w:trHeight w:val="23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Jennifer A. Doudna, Director</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28,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14,582</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31, 2025</w:t>
            </w:r>
          </w:p>
        </w:tc>
        <w:tc>
          <w:tcPr>
            <w:tcW w:w="0" w:type="dxa"/>
            <w:vAlign w:val="bottom"/>
          </w:tcPr>
          <w:p>
            <w:pPr>
              <w:spacing w:after="0"/>
              <w:rPr>
                <w:sz w:val="1"/>
                <w:szCs w:val="1"/>
                <w:color w:val="auto"/>
              </w:rPr>
            </w:pPr>
          </w:p>
        </w:tc>
      </w:tr>
      <w:tr>
        <w:trPr>
          <w:trHeight w:val="253"/>
        </w:trPr>
        <w:tc>
          <w:tcPr>
            <w:tcW w:w="3500" w:type="dxa"/>
            <w:vAlign w:val="bottom"/>
            <w:shd w:val="clear" w:color="auto" w:fill="CFF0FA"/>
          </w:tcPr>
          <w:p>
            <w:pPr>
              <w:ind w:left="20"/>
              <w:spacing w:after="0"/>
              <w:rPr>
                <w:sz w:val="20"/>
                <w:szCs w:val="20"/>
                <w:color w:val="auto"/>
              </w:rPr>
            </w:pPr>
            <w:r>
              <w:rPr>
                <w:rFonts w:ascii="Times New Roman" w:cs="Times New Roman" w:eastAsia="Times New Roman" w:hAnsi="Times New Roman"/>
                <w:sz w:val="16"/>
                <w:szCs w:val="16"/>
                <w:color w:val="auto"/>
              </w:rPr>
              <w:t>David R. Epstein, Director</w:t>
            </w:r>
          </w:p>
        </w:tc>
        <w:tc>
          <w:tcPr>
            <w:tcW w:w="120" w:type="dxa"/>
            <w:vAlign w:val="bottom"/>
            <w:shd w:val="clear" w:color="auto" w:fill="CFF0FA"/>
          </w:tcPr>
          <w:p>
            <w:pPr>
              <w:spacing w:after="0"/>
              <w:rPr>
                <w:sz w:val="21"/>
                <w:szCs w:val="21"/>
                <w:color w:val="auto"/>
              </w:rPr>
            </w:pPr>
          </w:p>
        </w:tc>
        <w:tc>
          <w:tcPr>
            <w:tcW w:w="112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20" w:type="dxa"/>
            <w:vAlign w:val="bottom"/>
            <w:shd w:val="clear" w:color="auto" w:fill="CFF0FA"/>
          </w:tcPr>
          <w:p>
            <w:pPr>
              <w:spacing w:after="0"/>
              <w:rPr>
                <w:sz w:val="21"/>
                <w:szCs w:val="21"/>
                <w:color w:val="auto"/>
              </w:rPr>
            </w:pPr>
          </w:p>
        </w:tc>
        <w:tc>
          <w:tcPr>
            <w:tcW w:w="1580" w:type="dxa"/>
            <w:vAlign w:val="bottom"/>
            <w:gridSpan w:val="2"/>
            <w:shd w:val="clear" w:color="auto" w:fill="CFF0FA"/>
          </w:tcPr>
          <w:p>
            <w:pPr>
              <w:jc w:val="center"/>
              <w:ind w:right="100"/>
              <w:spacing w:after="0"/>
              <w:rPr>
                <w:sz w:val="20"/>
                <w:szCs w:val="20"/>
                <w:color w:val="auto"/>
              </w:rPr>
            </w:pPr>
            <w:r>
              <w:rPr>
                <w:rFonts w:ascii="Times New Roman" w:cs="Times New Roman" w:eastAsia="Times New Roman" w:hAnsi="Times New Roman"/>
                <w:sz w:val="16"/>
                <w:szCs w:val="16"/>
                <w:color w:val="auto"/>
              </w:rPr>
              <w:t>August 27, 2024</w:t>
            </w:r>
          </w:p>
        </w:tc>
        <w:tc>
          <w:tcPr>
            <w:tcW w:w="80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shd w:val="clear" w:color="auto" w:fill="CFF0FA"/>
          </w:tcPr>
          <w:p>
            <w:pPr>
              <w:spacing w:after="0"/>
              <w:rPr>
                <w:sz w:val="21"/>
                <w:szCs w:val="21"/>
                <w:color w:val="auto"/>
              </w:rPr>
            </w:pPr>
          </w:p>
        </w:tc>
        <w:tc>
          <w:tcPr>
            <w:tcW w:w="780" w:type="dxa"/>
            <w:vAlign w:val="bottom"/>
            <w:shd w:val="clear" w:color="auto" w:fill="CFF0FA"/>
          </w:tcPr>
          <w:p>
            <w:pPr>
              <w:spacing w:after="0"/>
              <w:rPr>
                <w:sz w:val="21"/>
                <w:szCs w:val="21"/>
                <w:color w:val="auto"/>
              </w:rPr>
            </w:pPr>
          </w:p>
        </w:tc>
        <w:tc>
          <w:tcPr>
            <w:tcW w:w="1440" w:type="dxa"/>
            <w:vAlign w:val="bottom"/>
            <w:gridSpan w:val="2"/>
            <w:shd w:val="clear" w:color="auto" w:fill="CFF0FA"/>
          </w:tcPr>
          <w:p>
            <w:pPr>
              <w:jc w:val="center"/>
              <w:ind w:left="39"/>
              <w:spacing w:after="0"/>
              <w:rPr>
                <w:sz w:val="20"/>
                <w:szCs w:val="20"/>
                <w:color w:val="auto"/>
              </w:rPr>
            </w:pPr>
            <w:r>
              <w:rPr>
                <w:rFonts w:ascii="Times New Roman" w:cs="Times New Roman" w:eastAsia="Times New Roman" w:hAnsi="Times New Roman"/>
                <w:sz w:val="16"/>
                <w:szCs w:val="16"/>
                <w:color w:val="auto"/>
                <w:w w:val="99"/>
              </w:rPr>
              <w:t>6,570</w:t>
            </w:r>
          </w:p>
        </w:tc>
        <w:tc>
          <w:tcPr>
            <w:tcW w:w="120" w:type="dxa"/>
            <w:vAlign w:val="bottom"/>
            <w:shd w:val="clear" w:color="auto" w:fill="CFF0FA"/>
          </w:tcPr>
          <w:p>
            <w:pPr>
              <w:spacing w:after="0"/>
              <w:rPr>
                <w:sz w:val="21"/>
                <w:szCs w:val="21"/>
                <w:color w:val="auto"/>
              </w:rPr>
            </w:pPr>
          </w:p>
        </w:tc>
        <w:tc>
          <w:tcPr>
            <w:tcW w:w="156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0" w:type="dxa"/>
            <w:vAlign w:val="bottom"/>
          </w:tcPr>
          <w:p>
            <w:pPr>
              <w:spacing w:after="0"/>
              <w:rPr>
                <w:sz w:val="1"/>
                <w:szCs w:val="1"/>
                <w:color w:val="auto"/>
              </w:rPr>
            </w:pPr>
          </w:p>
        </w:tc>
      </w:tr>
      <w:tr>
        <w:trPr>
          <w:trHeight w:val="23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Wayne A.I. Frederick, Director</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2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12,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12,000</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15, 2025</w:t>
            </w:r>
          </w:p>
        </w:tc>
        <w:tc>
          <w:tcPr>
            <w:tcW w:w="0" w:type="dxa"/>
            <w:vAlign w:val="bottom"/>
          </w:tcPr>
          <w:p>
            <w:pPr>
              <w:spacing w:after="0"/>
              <w:rPr>
                <w:sz w:val="1"/>
                <w:szCs w:val="1"/>
                <w:color w:val="auto"/>
              </w:rPr>
            </w:pPr>
          </w:p>
        </w:tc>
      </w:tr>
      <w:tr>
        <w:trPr>
          <w:trHeight w:val="253"/>
        </w:trPr>
        <w:tc>
          <w:tcPr>
            <w:tcW w:w="3500" w:type="dxa"/>
            <w:vAlign w:val="bottom"/>
            <w:shd w:val="clear" w:color="auto" w:fill="CFF0FA"/>
          </w:tcPr>
          <w:p>
            <w:pPr>
              <w:ind w:left="20"/>
              <w:spacing w:after="0"/>
              <w:rPr>
                <w:sz w:val="20"/>
                <w:szCs w:val="20"/>
                <w:color w:val="auto"/>
              </w:rPr>
            </w:pPr>
            <w:r>
              <w:rPr>
                <w:rFonts w:ascii="Times New Roman" w:cs="Times New Roman" w:eastAsia="Times New Roman" w:hAnsi="Times New Roman"/>
                <w:sz w:val="16"/>
                <w:szCs w:val="16"/>
                <w:color w:val="auto"/>
              </w:rPr>
              <w:t>Scott Gottlieb, Director</w:t>
            </w:r>
          </w:p>
        </w:tc>
        <w:tc>
          <w:tcPr>
            <w:tcW w:w="120" w:type="dxa"/>
            <w:vAlign w:val="bottom"/>
            <w:shd w:val="clear" w:color="auto" w:fill="CFF0FA"/>
          </w:tcPr>
          <w:p>
            <w:pPr>
              <w:spacing w:after="0"/>
              <w:rPr>
                <w:sz w:val="21"/>
                <w:szCs w:val="21"/>
                <w:color w:val="auto"/>
              </w:rPr>
            </w:pPr>
          </w:p>
        </w:tc>
        <w:tc>
          <w:tcPr>
            <w:tcW w:w="112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20" w:type="dxa"/>
            <w:vAlign w:val="bottom"/>
            <w:shd w:val="clear" w:color="auto" w:fill="CFF0FA"/>
          </w:tcPr>
          <w:p>
            <w:pPr>
              <w:spacing w:after="0"/>
              <w:rPr>
                <w:sz w:val="21"/>
                <w:szCs w:val="21"/>
                <w:color w:val="auto"/>
              </w:rPr>
            </w:pPr>
          </w:p>
        </w:tc>
        <w:tc>
          <w:tcPr>
            <w:tcW w:w="1580" w:type="dxa"/>
            <w:vAlign w:val="bottom"/>
            <w:gridSpan w:val="2"/>
            <w:shd w:val="clear" w:color="auto" w:fill="CFF0FA"/>
          </w:tcPr>
          <w:p>
            <w:pPr>
              <w:jc w:val="center"/>
              <w:ind w:right="100"/>
              <w:spacing w:after="0"/>
              <w:rPr>
                <w:sz w:val="20"/>
                <w:szCs w:val="20"/>
                <w:color w:val="auto"/>
              </w:rPr>
            </w:pPr>
            <w:r>
              <w:rPr>
                <w:rFonts w:ascii="Times New Roman" w:cs="Times New Roman" w:eastAsia="Times New Roman" w:hAnsi="Times New Roman"/>
                <w:sz w:val="16"/>
                <w:szCs w:val="16"/>
                <w:color w:val="auto"/>
              </w:rPr>
              <w:t>August 27, 2024</w:t>
            </w:r>
          </w:p>
        </w:tc>
        <w:tc>
          <w:tcPr>
            <w:tcW w:w="80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shd w:val="clear" w:color="auto" w:fill="CFF0FA"/>
          </w:tcPr>
          <w:p>
            <w:pPr>
              <w:spacing w:after="0"/>
              <w:rPr>
                <w:sz w:val="21"/>
                <w:szCs w:val="21"/>
                <w:color w:val="auto"/>
              </w:rPr>
            </w:pPr>
          </w:p>
        </w:tc>
        <w:tc>
          <w:tcPr>
            <w:tcW w:w="780" w:type="dxa"/>
            <w:vAlign w:val="bottom"/>
            <w:shd w:val="clear" w:color="auto" w:fill="CFF0FA"/>
          </w:tcPr>
          <w:p>
            <w:pPr>
              <w:spacing w:after="0"/>
              <w:rPr>
                <w:sz w:val="21"/>
                <w:szCs w:val="21"/>
                <w:color w:val="auto"/>
              </w:rPr>
            </w:pPr>
          </w:p>
        </w:tc>
        <w:tc>
          <w:tcPr>
            <w:tcW w:w="1440" w:type="dxa"/>
            <w:vAlign w:val="bottom"/>
            <w:gridSpan w:val="2"/>
            <w:shd w:val="clear" w:color="auto" w:fill="CFF0FA"/>
          </w:tcPr>
          <w:p>
            <w:pPr>
              <w:jc w:val="center"/>
              <w:ind w:left="39"/>
              <w:spacing w:after="0"/>
              <w:rPr>
                <w:sz w:val="20"/>
                <w:szCs w:val="20"/>
                <w:color w:val="auto"/>
              </w:rPr>
            </w:pPr>
            <w:r>
              <w:rPr>
                <w:rFonts w:ascii="Times New Roman" w:cs="Times New Roman" w:eastAsia="Times New Roman" w:hAnsi="Times New Roman"/>
                <w:sz w:val="16"/>
                <w:szCs w:val="16"/>
                <w:color w:val="auto"/>
                <w:w w:val="99"/>
              </w:rPr>
              <w:t>55,675</w:t>
            </w:r>
          </w:p>
        </w:tc>
        <w:tc>
          <w:tcPr>
            <w:tcW w:w="120" w:type="dxa"/>
            <w:vAlign w:val="bottom"/>
            <w:shd w:val="clear" w:color="auto" w:fill="CFF0FA"/>
          </w:tcPr>
          <w:p>
            <w:pPr>
              <w:spacing w:after="0"/>
              <w:rPr>
                <w:sz w:val="21"/>
                <w:szCs w:val="21"/>
                <w:color w:val="auto"/>
              </w:rPr>
            </w:pPr>
          </w:p>
        </w:tc>
        <w:tc>
          <w:tcPr>
            <w:tcW w:w="1560" w:type="dxa"/>
            <w:vAlign w:val="bottom"/>
            <w:shd w:val="clear" w:color="auto" w:fill="CFF0FA"/>
          </w:tcPr>
          <w:p>
            <w:pPr>
              <w:jc w:val="center"/>
              <w:spacing w:after="0"/>
              <w:rPr>
                <w:sz w:val="20"/>
                <w:szCs w:val="20"/>
                <w:color w:val="auto"/>
              </w:rPr>
            </w:pPr>
            <w:r>
              <w:rPr>
                <w:rFonts w:ascii="Times New Roman" w:cs="Times New Roman" w:eastAsia="Times New Roman" w:hAnsi="Times New Roman"/>
                <w:sz w:val="16"/>
                <w:szCs w:val="16"/>
                <w:color w:val="auto"/>
              </w:rPr>
              <w:t>August 15, 2025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500" w:firstLine="8"/>
        <w:spacing w:after="0" w:line="261" w:lineRule="auto"/>
        <w:tabs>
          <w:tab w:leader="none" w:pos="1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 ** “Non-Rule 10b5-1 trading arrangement” as defined in Item 408(c) of Regulation S-K under the Exchange Act.</w:t>
      </w:r>
    </w:p>
    <w:p>
      <w:pPr>
        <w:ind w:left="520" w:right="40" w:hanging="512"/>
        <w:spacing w:after="0" w:line="250"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modification, as described in Rule 10b5-1(c)(1)(iv) under the Exchange Act, of a written plan adopted on June 14, 2024 that was intended to satisfy the affirmative defense conditions of Rule 10b5-1(c) under the Exchange Act. See "Item 5 — Other Information — Disclosure of Trading Arrangements" in our Form 10-Q for the Quarter Ended June 30, 2024 for a description of the written plans adopted on June 14, 2024.</w:t>
      </w:r>
    </w:p>
    <w:p>
      <w:pPr>
        <w:spacing w:after="0" w:line="1" w:lineRule="exact"/>
        <w:rPr>
          <w:rFonts w:ascii="Times New Roman" w:cs="Times New Roman" w:eastAsia="Times New Roman" w:hAnsi="Times New Roman"/>
          <w:sz w:val="18"/>
          <w:szCs w:val="18"/>
          <w:color w:val="auto"/>
        </w:rPr>
      </w:pPr>
    </w:p>
    <w:p>
      <w:pPr>
        <w:ind w:left="520" w:right="240" w:hanging="512"/>
        <w:spacing w:after="0" w:line="250"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Rule 10b5-1 trading plan provides for sales of (i) up to 115,884 shares of Class A common stock, plus (ii) up to approximately 96.7% (calculated on a weighted-average basis) of the net number of shares received upon vesting of an aggregate of 60,562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w:t>
      </w:r>
    </w:p>
    <w:p>
      <w:pPr>
        <w:spacing w:after="0" w:line="1" w:lineRule="exact"/>
        <w:rPr>
          <w:rFonts w:ascii="Times New Roman" w:cs="Times New Roman" w:eastAsia="Times New Roman" w:hAnsi="Times New Roman"/>
          <w:sz w:val="18"/>
          <w:szCs w:val="18"/>
          <w:color w:val="auto"/>
        </w:rPr>
      </w:pPr>
    </w:p>
    <w:p>
      <w:pPr>
        <w:ind w:left="520" w:right="80" w:hanging="512"/>
        <w:spacing w:after="0" w:line="253"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Rule 10b5-1 trading plan provides for sales of (i) up to 114,805 shares of Class A common stock, plus (ii) up to 100% of the net number of shares received upon vesting of an aggregate of 67,083 RSUs,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therefore, is indeterminable at this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November 1, 2024, the Compensation Committee of the Board of Directors of the Company approved the award of 30,000 restricted stock units ("RSUs") to Jim Rogers, the Company's Chief Financial Officer, one fourth of which vest on the first anniversary of January 15, 2025, and 1/16 of which vest quarterly thereafter.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74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vMerge w:val="restart"/>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1"/>
                <w:szCs w:val="11"/>
                <w:color w:val="auto"/>
              </w:rPr>
            </w:pPr>
          </w:p>
        </w:tc>
        <w:tc>
          <w:tcPr>
            <w:tcW w:w="340" w:type="dxa"/>
            <w:vAlign w:val="bottom"/>
            <w:vMerge w:val="restart"/>
          </w:tcPr>
          <w:p>
            <w:pPr>
              <w:spacing w:after="0"/>
              <w:rPr>
                <w:sz w:val="11"/>
                <w:szCs w:val="11"/>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5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008"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Borders>
              <w:bottom w:val="single" w:sz="8" w:color="0000EE"/>
            </w:tcBorders>
            <w:gridSpan w:val="2"/>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Amended and Restated Certificate of Incorporation of the Registrant.</w:t>
              </w:r>
            </w:hyperlink>
          </w:p>
        </w:tc>
        <w:tc>
          <w:tcPr>
            <w:tcW w:w="1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001-42130</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June 17, 2024</w:t>
            </w:r>
          </w:p>
        </w:tc>
      </w:tr>
      <w:tr>
        <w:trPr>
          <w:trHeight w:val="372"/>
        </w:trPr>
        <w:tc>
          <w:tcPr>
            <w:tcW w:w="3580" w:type="dxa"/>
            <w:vAlign w:val="bottom"/>
            <w:tcBorders>
              <w:bottom w:val="single" w:sz="8" w:color="0000EE"/>
            </w:tcBorders>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Amended and Restated Bylaws of the Registrant.</w:t>
              </w:r>
            </w:hyperlink>
          </w:p>
        </w:tc>
        <w:tc>
          <w:tcPr>
            <w:tcW w:w="1440" w:type="dxa"/>
            <w:vAlign w:val="bottom"/>
          </w:tcPr>
          <w:p>
            <w:pPr>
              <w:spacing w:after="0"/>
              <w:rPr>
                <w:sz w:val="24"/>
                <w:szCs w:val="24"/>
                <w:color w:val="auto"/>
              </w:rPr>
            </w:pPr>
          </w:p>
        </w:tc>
        <w:tc>
          <w:tcPr>
            <w:tcW w:w="1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001-42130</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June 17, 2024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Start-Up Agreement by and between the Registrant and Pathos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3058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33058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dated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9772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41503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34150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3614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3832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3383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3614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46" w:lineRule="exact"/>
        <w:rPr>
          <w:sz w:val="20"/>
          <w:szCs w:val="20"/>
          <w:color w:val="auto"/>
        </w:rPr>
      </w:pPr>
    </w:p>
    <w:p>
      <w:pPr>
        <w:ind w:right="440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-313055</wp:posOffset>
            </wp:positionV>
            <wp:extent cx="34569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34569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-175895</wp:posOffset>
            </wp:positionV>
            <wp:extent cx="35483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35483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-38735</wp:posOffset>
            </wp:positionV>
            <wp:extent cx="13328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60" w:space="720"/>
            <w:col w:w="9960"/>
          </w:cols>
          <w:pgMar w:left="320" w:top="1008" w:right="339" w:bottom="1440" w:gutter="0" w:footer="0" w:header="0"/>
          <w:type w:val="continuous"/>
        </w:sect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 – the instance document does not appear in</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Interactive Data File as its XBRL tags are embedded within the Inline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XBRL document.</w:t>
      </w:r>
    </w:p>
    <w:p>
      <w:pPr>
        <w:spacing w:after="0" w:line="166"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with Embedded Linkbase</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Document.</w:t>
      </w:r>
    </w:p>
    <w:p>
      <w:pPr>
        <w:spacing w:after="0" w:line="166"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formatted as inline XBRL and contained in Exhibit 101.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00" w:firstLine="8"/>
        <w:spacing w:after="0" w:line="260" w:lineRule="auto"/>
        <w:tabs>
          <w:tab w:leader="none" w:pos="1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118" w:name="page119"/>
    <w:bookmarkEnd w:id="118"/>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83"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26035</wp:posOffset>
            </wp:positionV>
            <wp:extent cx="296608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Eric Lefkofsky</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1"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4, 2024</w:t>
      </w:r>
      <w:r>
        <w:rPr>
          <w:sz w:val="20"/>
          <w:szCs w:val="20"/>
          <w:color w:val="auto"/>
        </w:rPr>
        <w:tab/>
      </w:r>
      <w:r>
        <w:rPr>
          <w:rFonts w:ascii="Times New Roman" w:cs="Times New Roman" w:eastAsia="Times New Roman" w:hAnsi="Times New Roman"/>
          <w:sz w:val="18"/>
          <w:szCs w:val="18"/>
          <w:color w:val="auto"/>
        </w:rPr>
        <w:t>By:  /s/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26035</wp:posOffset>
            </wp:positionV>
            <wp:extent cx="296608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James Rogers</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08" w:right="7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START-UP AGREEMENT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231F20"/>
        </w:rPr>
        <w:t xml:space="preserve">THIS START-UP AGREEMENT </w:t>
      </w:r>
      <w:r>
        <w:rPr>
          <w:rFonts w:ascii="Arial" w:cs="Arial" w:eastAsia="Arial" w:hAnsi="Arial"/>
          <w:sz w:val="18"/>
          <w:szCs w:val="18"/>
          <w:color w:val="231F20"/>
        </w:rPr>
        <w:t>(this “SUA”) is made effective as of the Effective Date (defined below) by and between Pathos AI, Inc.,</w:t>
      </w:r>
      <w:r>
        <w:rPr>
          <w:rFonts w:ascii="Arial" w:cs="Arial" w:eastAsia="Arial" w:hAnsi="Arial"/>
          <w:sz w:val="18"/>
          <w:szCs w:val="18"/>
          <w:b w:val="1"/>
          <w:bCs w:val="1"/>
          <w:color w:val="231F20"/>
        </w:rPr>
        <w:t xml:space="preserve"> </w:t>
      </w:r>
      <w:r>
        <w:rPr>
          <w:rFonts w:ascii="Arial" w:cs="Arial" w:eastAsia="Arial" w:hAnsi="Arial"/>
          <w:sz w:val="18"/>
          <w:szCs w:val="18"/>
          <w:color w:val="231F20"/>
        </w:rPr>
        <w:t>having its principal offices at 600 W Chicago Ave Suite 150, Chicago, IL 60654 (referred to as "Sponsor") and Tempus Compass, LLC with a place of business at 600 West Chicago Avenue Suite 510. Chicago, IL 60654, and its Affiliates (collectively referred to as "Tempus Compass").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Sponsor desires to retain Tempus Compass to provide the services described in the Budget Proposal dated 21May2024 ("Services") attached hereto as Exhibit A, in support of the Protocol No. entitled, “A Phase 1b/2a, Multicenter, Open-Label Study of Pocenbrodib as Monotherapy and in Combination With Abiraterone Acetate, Olaparib, or 177Lu-PSMA-617 in Participants With Metastatic Castration-Resistant Prostate Cancer (mCRPC)” ("Study").</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Sponsor hereby authorizes Tempus Compass to proceed with tasks associated with the preparation and initiation of the Study, notwithstanding the fact that a formal agreement has not yet been executed by the parties.</w:t>
      </w:r>
    </w:p>
    <w:p>
      <w:pPr>
        <w:spacing w:after="0" w:line="154"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Commencement of Services and Term</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1.1 Upon signature of this SUA by both parties, Tempus Compass will proceed with the initial Services required for conduct of the Study, provided, however, no Study product will be shipped or already on site, and no subjects screened or dosed during the term of this SUA. The parties recognize that this SUA is necessary to commence the Study within the proposed timelines; provided, however, Sponsor and Tempus Compass agree that a signed definitive agreement is necessary to proceed with the Study beyond the initial preparation and initiation services. The parties will negotiate in good faith to execute a definitive agreement relating to the Services no later than ninety (90) days from the Effective Date as may be extended by the mutual agreement of the parties (the "Negotiation Period"). For the Purposes of this SUA, “Effective Date” means the date upon which the board of directors of Tempus AI, Inc. (Affiliate and parent company of Tempus Compass, LLC) approves the transaction memorialized in this SUA.</w:t>
      </w:r>
    </w:p>
    <w:p>
      <w:pPr>
        <w:spacing w:after="0" w:line="183"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Termination</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2.1 In the event that a definitive agreement for the Study is not executed prior to the conclusion of the Negotiation Period, this SUA shall continue in effect unless terminated in accordance with this Section 2.1. Either party may terminate this SUA at any time during the Negotiation Period with written notice to the other party. This SUA may be terminated or expire as described above without either party incurring any further liability to the other party except as described below. At the expiration or termination of this SUA, any regulatory obligations assumed by Tempus Compass are immediately transferred back to Sponsor.</w:t>
      </w:r>
    </w:p>
    <w:p>
      <w:pPr>
        <w:spacing w:after="0" w:line="180"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Funding</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31F20"/>
        </w:rPr>
        <w:t>3.1 Upon the execution of this SUA, Sponsor will advance funding (“SUA Funds”) to Tempus Compass in the amount of $1,709,326 for application to Tempus Compass direct professional Service fees (excluding VAT or applicable taxes).</w:t>
      </w:r>
    </w:p>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 xml:space="preserve">3.2 In the event Tempus Compass earns fees in excess of the SUA Funds, Sponsor will be invoiced for the Services performed by Tempus Compass in accordance with </w:t>
      </w:r>
      <w:r>
        <w:rPr>
          <w:rFonts w:ascii="Arial" w:cs="Arial" w:eastAsia="Arial" w:hAnsi="Arial"/>
          <w:sz w:val="18"/>
          <w:szCs w:val="18"/>
          <w:u w:val="single" w:color="auto"/>
          <w:color w:val="231F20"/>
        </w:rPr>
        <w:t>Exhibit A</w:t>
      </w:r>
      <w:r>
        <w:rPr>
          <w:rFonts w:ascii="Arial" w:cs="Arial" w:eastAsia="Arial" w:hAnsi="Arial"/>
          <w:sz w:val="18"/>
          <w:szCs w:val="18"/>
          <w:color w:val="231F20"/>
        </w:rPr>
        <w:t>. Invoices will be prepared monthly with payment due thirty (30) days from the receipt of the invoice. Expenses incurred during the Negotiation Period will be invoiced to Sponsor monthly as incurred with payment due thirty (30) days from the receipt of the invoice. Any amounts paid under this SUA shall be applied to the definitive agreement. Even in the event a definitive agreement is not executed or this SUA is terminated by either party, Sponsor shall compensate Tempus Compass for all Services performed and expenses incurred.</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0" w:name="page121"/>
    <w:bookmarkEnd w:id="120"/>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3.3 If any SUA Funds are unused at the time of the execution of the subsequent definitive agreement, the remaining SUA Funds will be applied to the amounts required under the definitive agreement.</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3.4 In the event a definitive agreement is not executed or this SUA is terminated prior to the conclusion of the Negotiation Period, any remaining SUA Funds balance will be credited to Sponsor within thirty (30) days following the completion of a final reconciliation of all Services and expenses. Sponsor may audit the expense documentation at any time following the execution of the SUA and up to one (1) year following completion of the Services performed by Tempus Compass.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3.5 All invoices shall be paid by wire transfer or ACH in accordance with the instructions provided by Tempus Compass. Sponsor waives its right to dispute such invoice(s) on such account. If a dispute arises between the Parties in respect of any part of an invoice, Sponsor must pay all undisputed portions of the invoice within the stipulated invoice period.</w:t>
      </w:r>
    </w:p>
    <w:p>
      <w:pPr>
        <w:spacing w:after="0" w:line="169" w:lineRule="exact"/>
        <w:rPr>
          <w:sz w:val="20"/>
          <w:szCs w:val="20"/>
          <w:color w:val="auto"/>
        </w:rPr>
      </w:pPr>
    </w:p>
    <w:p>
      <w:pPr>
        <w:ind w:left="760" w:hanging="752"/>
        <w:spacing w:after="0"/>
        <w:tabs>
          <w:tab w:leader="none" w:pos="760" w:val="left"/>
        </w:tabs>
        <w:numPr>
          <w:ilvl w:val="0"/>
          <w:numId w:val="72"/>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Indemnification</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4.1 Sponsor will defend, indemnify, save and hold harmless Tempus Compass and its directors, officers, employees, and agents from and against any third party claims, demands, suits, actions, causes of action, losses, damages, fines and liabilities, including reasonable attorneys' fees to the extent that they arise out of or in connection with or attributable to the performance of the Services, except any claim to the extent that it is determined to have resulted from the negligence or intentional misconduct on the part of Tempus Compass or its employees.</w:t>
      </w:r>
    </w:p>
    <w:p>
      <w:pPr>
        <w:spacing w:after="0" w:line="180" w:lineRule="exact"/>
        <w:rPr>
          <w:sz w:val="20"/>
          <w:szCs w:val="20"/>
          <w:color w:val="auto"/>
        </w:rPr>
      </w:pPr>
    </w:p>
    <w:p>
      <w:pPr>
        <w:ind w:left="760" w:hanging="752"/>
        <w:spacing w:after="0"/>
        <w:tabs>
          <w:tab w:leader="none" w:pos="760" w:val="left"/>
        </w:tabs>
        <w:numPr>
          <w:ilvl w:val="0"/>
          <w:numId w:val="73"/>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Insurance</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31F20"/>
        </w:rPr>
        <w:t>5.1 During the term of the Study and for at least one (1) year thereafter, Sponsor will maintain product liability insurance underwritten by a reputable insurer which: (i) is appropriate for the Study; (ii) does not contain exclusions that would preclude claims by participating Study participants which arise from the Study in relation to the test materials where the Study participant has reasonably complied with the Protocol; and</w:t>
      </w:r>
    </w:p>
    <w:p>
      <w:pPr>
        <w:spacing w:after="0" w:line="3" w:lineRule="exact"/>
        <w:rPr>
          <w:sz w:val="20"/>
          <w:szCs w:val="20"/>
          <w:color w:val="auto"/>
        </w:rPr>
      </w:pPr>
    </w:p>
    <w:p>
      <w:pPr>
        <w:jc w:val="both"/>
        <w:ind w:firstLine="8"/>
        <w:spacing w:after="0" w:line="242" w:lineRule="auto"/>
        <w:tabs>
          <w:tab w:leader="none" w:pos="292" w:val="left"/>
        </w:tabs>
        <w:numPr>
          <w:ilvl w:val="0"/>
          <w:numId w:val="74"/>
        </w:numPr>
        <w:rPr>
          <w:rFonts w:ascii="Arial" w:cs="Arial" w:eastAsia="Arial" w:hAnsi="Arial"/>
          <w:sz w:val="18"/>
          <w:szCs w:val="18"/>
          <w:color w:val="231F20"/>
        </w:rPr>
      </w:pPr>
      <w:r>
        <w:rPr>
          <w:rFonts w:ascii="Arial" w:cs="Arial" w:eastAsia="Arial" w:hAnsi="Arial"/>
          <w:sz w:val="18"/>
          <w:szCs w:val="18"/>
          <w:color w:val="231F20"/>
        </w:rPr>
        <w:t>provides coverage for claims relating to the test materials or Study in amounts required by applicable law and sufficient to cover claims of Study participants engaged in the Study. If Tempus Compass requests in writing, Sponsor will produce a certificate of insurance for inspection.</w:t>
      </w:r>
    </w:p>
    <w:p>
      <w:pPr>
        <w:spacing w:after="0" w:line="179" w:lineRule="exact"/>
        <w:rPr>
          <w:sz w:val="20"/>
          <w:szCs w:val="20"/>
          <w:color w:val="auto"/>
        </w:rPr>
      </w:pPr>
    </w:p>
    <w:p>
      <w:pPr>
        <w:ind w:left="760" w:hanging="752"/>
        <w:spacing w:after="0"/>
        <w:tabs>
          <w:tab w:leader="none" w:pos="760" w:val="left"/>
        </w:tabs>
        <w:numPr>
          <w:ilvl w:val="0"/>
          <w:numId w:val="75"/>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Confidentiality</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231F20"/>
        </w:rPr>
        <w:t>6.1 "</w:t>
      </w:r>
      <w:r>
        <w:rPr>
          <w:rFonts w:ascii="Arial" w:cs="Arial" w:eastAsia="Arial" w:hAnsi="Arial"/>
          <w:sz w:val="18"/>
          <w:szCs w:val="18"/>
          <w:b w:val="1"/>
          <w:bCs w:val="1"/>
          <w:color w:val="231F20"/>
        </w:rPr>
        <w:t>Confidential Information</w:t>
      </w:r>
      <w:r>
        <w:rPr>
          <w:rFonts w:ascii="Arial" w:cs="Arial" w:eastAsia="Arial" w:hAnsi="Arial"/>
          <w:sz w:val="18"/>
          <w:szCs w:val="18"/>
          <w:color w:val="231F20"/>
        </w:rPr>
        <w:t>", means all proprietary and confidential information provided orally, in writing, or as observed on visits to facilities and which relate to new or existing products and/or business operations, including, without limitation, study protocols, product development plans, standard operating procedures, pricing information, business methods, trade secrets, business processes, business plans, inventions, techniques, information provided by third parties (including pricing by third party providers) or other third party information provided to disclosing party under an obligation of confidentiality, and other information not readily available to the public relating to the disclosing party including discussions regarding subject matter of potential future services. To the extent practical, Confidential Information shall be disclosed in documentary or tangible form and marked "Confidential" or "Proprietary". In the case of disclosures in non-documentary form, made orally or by visual inspection, the disclosing party shall confirm in writing the fact and general nature of each such disclosure within thirty (30) days after it is made. Notwithstanding the foregoing, it is agreed that failure to mark documents or reduce oral disclosures to writing shall not alleviate the receiving party of its obligations under this SUA if the disclosed information would reasonably be considered confidential based upon the nature of the information or the circumstances surrounding its disclosure.</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6.2 The parties will exchange Confidential Information during the term of this SUA which is not available to the public and each party (a) will use the same level of efforts it uses to maintain its own Confidential Information in confidence, but no less than a reasonable degree of care, and (b) will not use or disclose such Confidential Information to any third parties, except disclosures to the receiving party's employees, agents and representatives or to third parties whose services are required for the performance of this SUA.</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31F20"/>
        </w:rPr>
        <w:t>6.3 Each party must employ reasonable and appropriate procedures to prevent unauthorized publication or disclosure of Confidential Information, except to the extent that it may be required by applicable law to disclose the information.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6.4 If it is reasonably necessary for a receiving party to disclose the disclosing party's Confidential Information to a third party in order to perform under this SUA, the receiving party will obtain written approval from the disclosing party for the third party disclosure, and will obtain a written agreement limiting the disclosure by and use of the Confidential Information by the third party.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6.5 If the disclosing party so requests in writing, the receiving party will, at the option and expense of the disclosing party, return or destroy the Confidential Information, except that in any event the receiving party may retain a single copy of the Confidential Information and related materials in its archives for the purposes of demonstrating or ensuring its compliance with this SUA or applicable law, provided that such archival copy will remain subject to the restrictions of this SUA.</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6.6 The confidentiality provisions contained in this SUA continue to have effect for five (5) years after the expiry or other termination of the remainder of this SUA.</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6.7 The confidential provisions of this Section 6 do not apply to any part of the Confidential Information which (a) is known to the receiving party at the time it was obtained from the disclosing party, (b) is acquired by the receiving party from a third party that did not obtain such information directly or indirectly from the disclosing party while under an obligation not to disclose it, (c) is or becomes published or otherwise enters the public domain other than by violation of this SUA by the receiving party, (d) is independently developed by or for the receiving party without reference to or reliance upon the information provided by the disclosing party, (e) is required to be disclosed by the receiving party to comply with applicable law, provided that the receiving party provides prompt written notice of such disclosure to the disclosing party and cooperates with the disclosing party's reasonable and lawful actions to avoid and/or minimize the extent of such disclosure, or (f) is used or disclosed with the written consent of the disclosing party.</w:t>
      </w:r>
    </w:p>
    <w:p>
      <w:pPr>
        <w:spacing w:after="0" w:line="180" w:lineRule="exact"/>
        <w:rPr>
          <w:sz w:val="20"/>
          <w:szCs w:val="20"/>
          <w:color w:val="auto"/>
        </w:rPr>
      </w:pPr>
    </w:p>
    <w:p>
      <w:pPr>
        <w:ind w:left="760" w:hanging="752"/>
        <w:spacing w:after="0"/>
        <w:tabs>
          <w:tab w:leader="none" w:pos="760" w:val="left"/>
        </w:tabs>
        <w:numPr>
          <w:ilvl w:val="0"/>
          <w:numId w:val="76"/>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Ownership</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 xml:space="preserve">7.1 Except for the work product that is the proprietary property of Tempus Compass, all work, information, data and materials provided by Sponsor to Tempus Compass or generated hereunder shall remain the exclusive proprietary property of Sponsor. To the extent necessary for Sponsor to achieve its objectives under the Study and reap the benefit of this SUA, Tempus Compass hereby provides Sponsor a perpetual, irrevocable, and royalty-free license to the proprietary property of Tempus Compass, </w:t>
      </w:r>
      <w:r>
        <w:rPr>
          <w:rFonts w:ascii="Arial" w:cs="Arial" w:eastAsia="Arial" w:hAnsi="Arial"/>
          <w:sz w:val="18"/>
          <w:szCs w:val="18"/>
          <w:color w:val="ED2024"/>
        </w:rPr>
        <w:t>LLC</w:t>
      </w:r>
      <w:r>
        <w:rPr>
          <w:rFonts w:ascii="Arial" w:cs="Arial" w:eastAsia="Arial" w:hAnsi="Arial"/>
          <w:sz w:val="18"/>
          <w:szCs w:val="18"/>
          <w:color w:val="231F20"/>
        </w:rPr>
        <w:t xml:space="preserve"> that may be embedded in the proprietary property of Sponsor.</w:t>
      </w:r>
    </w:p>
    <w:p>
      <w:pPr>
        <w:spacing w:after="0" w:line="180" w:lineRule="exact"/>
        <w:rPr>
          <w:sz w:val="20"/>
          <w:szCs w:val="20"/>
          <w:color w:val="auto"/>
        </w:rPr>
      </w:pPr>
    </w:p>
    <w:p>
      <w:pPr>
        <w:ind w:left="760" w:hanging="752"/>
        <w:spacing w:after="0"/>
        <w:tabs>
          <w:tab w:leader="none" w:pos="760" w:val="left"/>
        </w:tabs>
        <w:numPr>
          <w:ilvl w:val="0"/>
          <w:numId w:val="77"/>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Governing Law</w:t>
      </w:r>
    </w:p>
    <w:p>
      <w:pPr>
        <w:spacing w:after="0" w:line="1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231F20"/>
        </w:rPr>
        <w:t>8.1 This SUA will in all events and for all purposes be governed by and construed in accordance with the law of Illinois, except in the case of a conflict of laws provision which would apply the law of another jurisdiction.</w:t>
      </w:r>
    </w:p>
    <w:p>
      <w:pPr>
        <w:spacing w:after="0" w:line="172" w:lineRule="exact"/>
        <w:rPr>
          <w:sz w:val="20"/>
          <w:szCs w:val="20"/>
          <w:color w:val="auto"/>
        </w:rPr>
      </w:pPr>
    </w:p>
    <w:p>
      <w:pPr>
        <w:jc w:val="both"/>
        <w:ind w:firstLine="8"/>
        <w:spacing w:after="0" w:line="253" w:lineRule="auto"/>
        <w:tabs>
          <w:tab w:leader="none" w:pos="509" w:val="left"/>
        </w:tabs>
        <w:numPr>
          <w:ilvl w:val="0"/>
          <w:numId w:val="78"/>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Acknowledgment of Competitive Bidding.</w:t>
      </w:r>
      <w:r>
        <w:rPr>
          <w:rFonts w:ascii="Arial" w:cs="Arial" w:eastAsia="Arial" w:hAnsi="Arial"/>
          <w:sz w:val="18"/>
          <w:szCs w:val="18"/>
          <w:b w:val="1"/>
          <w:bCs w:val="1"/>
          <w:color w:val="231F20"/>
        </w:rPr>
        <w:t xml:space="preserve"> </w:t>
      </w:r>
      <w:r>
        <w:rPr>
          <w:rFonts w:ascii="Arial" w:cs="Arial" w:eastAsia="Arial" w:hAnsi="Arial"/>
          <w:sz w:val="18"/>
          <w:szCs w:val="18"/>
          <w:color w:val="231F20"/>
        </w:rPr>
        <w:t>The Parties acknowledge and agree that the pricing for Services set forth under this</w:t>
      </w:r>
      <w:r>
        <w:rPr>
          <w:rFonts w:ascii="Arial" w:cs="Arial" w:eastAsia="Arial" w:hAnsi="Arial"/>
          <w:sz w:val="18"/>
          <w:szCs w:val="18"/>
          <w:b w:val="1"/>
          <w:bCs w:val="1"/>
          <w:color w:val="231F20"/>
        </w:rPr>
        <w:t xml:space="preserve"> </w:t>
      </w:r>
      <w:r>
        <w:rPr>
          <w:rFonts w:ascii="Arial" w:cs="Arial" w:eastAsia="Arial" w:hAnsi="Arial"/>
          <w:sz w:val="18"/>
          <w:szCs w:val="18"/>
          <w:color w:val="231F20"/>
        </w:rPr>
        <w:t>Agreement were the result of a competitive bidding process and good faith negotiation. No additional inducement was offered, discussed, or agreed to by the Parties other than the discounts resulting from the competitive bidding process and good faith negotiation.</w:t>
      </w:r>
    </w:p>
    <w:p>
      <w:pPr>
        <w:spacing w:after="0" w:line="168" w:lineRule="exact"/>
        <w:rPr>
          <w:rFonts w:ascii="Arial" w:cs="Arial" w:eastAsia="Arial" w:hAnsi="Arial"/>
          <w:sz w:val="18"/>
          <w:szCs w:val="18"/>
          <w:u w:val="single" w:color="auto"/>
          <w:color w:val="231F20"/>
        </w:rPr>
      </w:pPr>
    </w:p>
    <w:p>
      <w:pPr>
        <w:ind w:left="760" w:hanging="752"/>
        <w:spacing w:after="0"/>
        <w:tabs>
          <w:tab w:leader="none" w:pos="760" w:val="left"/>
        </w:tabs>
        <w:numPr>
          <w:ilvl w:val="0"/>
          <w:numId w:val="78"/>
        </w:numPr>
        <w:rPr>
          <w:rFonts w:ascii="Arial" w:cs="Arial" w:eastAsia="Arial" w:hAnsi="Arial"/>
          <w:sz w:val="18"/>
          <w:szCs w:val="18"/>
          <w:u w:val="single" w:color="auto"/>
          <w:color w:val="231F20"/>
        </w:rPr>
      </w:pPr>
      <w:r>
        <w:rPr>
          <w:rFonts w:ascii="Arial" w:cs="Arial" w:eastAsia="Arial" w:hAnsi="Arial"/>
          <w:sz w:val="18"/>
          <w:szCs w:val="18"/>
          <w:b w:val="1"/>
          <w:bCs w:val="1"/>
          <w:u w:val="single" w:color="auto"/>
          <w:color w:val="231F20"/>
        </w:rPr>
        <w:t>Counterparts</w:t>
      </w:r>
    </w:p>
    <w:p>
      <w:pPr>
        <w:spacing w:after="0" w:line="14" w:lineRule="exact"/>
        <w:rPr>
          <w:sz w:val="20"/>
          <w:szCs w:val="20"/>
          <w:color w:val="auto"/>
        </w:rPr>
      </w:pPr>
    </w:p>
    <w:p>
      <w:pPr>
        <w:spacing w:after="0" w:line="250" w:lineRule="auto"/>
        <w:rPr>
          <w:sz w:val="20"/>
          <w:szCs w:val="20"/>
          <w:color w:val="auto"/>
        </w:rPr>
      </w:pPr>
      <w:r>
        <w:rPr>
          <w:rFonts w:ascii="Arial" w:cs="Arial" w:eastAsia="Arial" w:hAnsi="Arial"/>
          <w:sz w:val="18"/>
          <w:szCs w:val="18"/>
          <w:color w:val="231F20"/>
        </w:rPr>
        <w:t>10.1 This SUA may be executed in two (2) or more counterparts, which taken together will constitute a single legal document. This SUA may be executed by electronic signatures and such signatures will be deemed to bind each party as if they were originals.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[Signature page to follow]</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color w:val="231F20"/>
        </w:rPr>
        <w:t>IN WITNESS WHEREOF</w:t>
      </w:r>
      <w:r>
        <w:rPr>
          <w:rFonts w:ascii="Arial" w:cs="Arial" w:eastAsia="Arial" w:hAnsi="Arial"/>
          <w:sz w:val="17"/>
          <w:szCs w:val="17"/>
          <w:color w:val="231F20"/>
        </w:rPr>
        <w:t>, authorized representatives of the parties have executed this SUA as of the Effective Date first written above.</w:t>
      </w:r>
    </w:p>
    <w:p>
      <w:pPr>
        <w:sectPr>
          <w:pgSz w:w="11900" w:h="16838" w:orient="portrait"/>
          <w:cols w:equalWidth="0" w:num="1">
            <w:col w:w="11240"/>
          </w:cols>
          <w:pgMar w:left="320" w:top="1417" w:right="339" w:bottom="1440" w:gutter="0" w:footer="0" w:header="0"/>
        </w:sect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31F20"/>
        </w:rPr>
        <w:t>PATHOS AI,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231F20"/>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231F20"/>
              </w:rPr>
              <w:t>Matthew De silva</w:t>
            </w:r>
          </w:p>
        </w:tc>
        <w:tc>
          <w:tcPr>
            <w:tcW w:w="880" w:type="dxa"/>
            <w:vAlign w:val="bottom"/>
          </w:tcPr>
          <w:p>
            <w:pPr>
              <w:ind w:left="340"/>
              <w:spacing w:after="0"/>
              <w:rPr>
                <w:sz w:val="20"/>
                <w:szCs w:val="20"/>
                <w:color w:val="auto"/>
              </w:rPr>
            </w:pPr>
            <w:r>
              <w:rPr>
                <w:rFonts w:ascii="Arial" w:cs="Arial" w:eastAsia="Arial" w:hAnsi="Arial"/>
                <w:sz w:val="18"/>
                <w:szCs w:val="18"/>
                <w:color w:val="231F20"/>
              </w:rPr>
              <w:t>By:</w:t>
            </w:r>
          </w:p>
        </w:tc>
      </w:tr>
      <w:tr>
        <w:trPr>
          <w:trHeight w:val="209"/>
        </w:trPr>
        <w:tc>
          <w:tcPr>
            <w:tcW w:w="780" w:type="dxa"/>
            <w:vAlign w:val="bottom"/>
          </w:tcPr>
          <w:p>
            <w:pPr>
              <w:spacing w:after="0"/>
              <w:rPr>
                <w:sz w:val="20"/>
                <w:szCs w:val="20"/>
                <w:color w:val="auto"/>
              </w:rPr>
            </w:pPr>
            <w:r>
              <w:rPr>
                <w:rFonts w:ascii="Arial" w:cs="Arial" w:eastAsia="Arial" w:hAnsi="Arial"/>
                <w:sz w:val="18"/>
                <w:szCs w:val="18"/>
                <w:color w:val="231F20"/>
              </w:rPr>
              <w:t>Name:</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231F20"/>
              </w:rPr>
              <w:t>Matthew De silva</w:t>
            </w:r>
          </w:p>
        </w:tc>
        <w:tc>
          <w:tcPr>
            <w:tcW w:w="880" w:type="dxa"/>
            <w:vAlign w:val="bottom"/>
          </w:tcPr>
          <w:p>
            <w:pPr>
              <w:ind w:left="340"/>
              <w:spacing w:after="0"/>
              <w:rPr>
                <w:sz w:val="20"/>
                <w:szCs w:val="20"/>
                <w:color w:val="auto"/>
              </w:rPr>
            </w:pPr>
            <w:r>
              <w:rPr>
                <w:rFonts w:ascii="Arial" w:cs="Arial" w:eastAsia="Arial" w:hAnsi="Arial"/>
                <w:sz w:val="18"/>
                <w:szCs w:val="18"/>
                <w:color w:val="231F20"/>
                <w:w w:val="98"/>
              </w:rPr>
              <w:t>Name:</w:t>
            </w:r>
          </w:p>
        </w:tc>
      </w:tr>
      <w:tr>
        <w:trPr>
          <w:trHeight w:val="210"/>
        </w:trPr>
        <w:tc>
          <w:tcPr>
            <w:tcW w:w="780" w:type="dxa"/>
            <w:vAlign w:val="bottom"/>
          </w:tcPr>
          <w:p>
            <w:pPr>
              <w:spacing w:after="0"/>
              <w:rPr>
                <w:sz w:val="20"/>
                <w:szCs w:val="20"/>
                <w:color w:val="auto"/>
              </w:rPr>
            </w:pPr>
            <w:r>
              <w:rPr>
                <w:rFonts w:ascii="Arial" w:cs="Arial" w:eastAsia="Arial" w:hAnsi="Arial"/>
                <w:sz w:val="18"/>
                <w:szCs w:val="18"/>
                <w:color w:val="231F20"/>
              </w:rPr>
              <w:t>Title:</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231F20"/>
              </w:rPr>
              <w:t>chief operating officer</w:t>
            </w:r>
          </w:p>
        </w:tc>
        <w:tc>
          <w:tcPr>
            <w:tcW w:w="880" w:type="dxa"/>
            <w:vAlign w:val="bottom"/>
          </w:tcPr>
          <w:p>
            <w:pPr>
              <w:ind w:left="340"/>
              <w:spacing w:after="0"/>
              <w:rPr>
                <w:sz w:val="20"/>
                <w:szCs w:val="20"/>
                <w:color w:val="auto"/>
              </w:rPr>
            </w:pPr>
            <w:r>
              <w:rPr>
                <w:rFonts w:ascii="Arial" w:cs="Arial" w:eastAsia="Arial" w:hAnsi="Arial"/>
                <w:sz w:val="18"/>
                <w:szCs w:val="18"/>
                <w:color w:val="231F20"/>
              </w:rPr>
              <w:t>Title:</w:t>
            </w: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Tempus Compass,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BY: TEMPUS AI,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32061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32061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716280</wp:posOffset>
            </wp:positionV>
            <wp:extent cx="32061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341" w:lineRule="exact"/>
        <w:rPr>
          <w:sz w:val="20"/>
          <w:szCs w:val="20"/>
          <w:color w:val="auto"/>
        </w:rPr>
      </w:pPr>
    </w:p>
    <w:p>
      <w:pPr>
        <w:sectPr>
          <w:pgSz w:w="11900" w:h="16838" w:orient="portrait"/>
          <w:cols w:equalWidth="0" w:num="2">
            <w:col w:w="5960" w:space="240"/>
            <w:col w:w="5040"/>
          </w:cols>
          <w:pgMar w:left="320" w:top="1417"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231F20"/>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Schedule of Services*/Estimated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7107555</wp:posOffset>
            </wp:positionH>
            <wp:positionV relativeFrom="paragraph">
              <wp:posOffset>125095</wp:posOffset>
            </wp:positionV>
            <wp:extent cx="42545" cy="73120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42545" cy="7312025"/>
                    </a:xfrm>
                    <a:prstGeom prst="rect">
                      <a:avLst/>
                    </a:prstGeom>
                    <a:noFill/>
                  </pic:spPr>
                </pic:pic>
              </a:graphicData>
            </a:graphic>
          </wp:anchor>
        </w:drawing>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060" w:type="dxa"/>
            <w:vAlign w:val="bottom"/>
            <w:tcBorders>
              <w:top w:val="single" w:sz="8" w:color="C7C8CA"/>
              <w:left w:val="single" w:sz="8" w:color="C7C8CA"/>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Unit</w:t>
            </w:r>
          </w:p>
        </w:tc>
        <w:tc>
          <w:tcPr>
            <w:tcW w:w="4660" w:type="dxa"/>
            <w:vAlign w:val="bottom"/>
            <w:tcBorders>
              <w:top w:val="single" w:sz="8" w:color="231F20"/>
              <w:right w:val="single" w:sz="8" w:color="C7C8CA"/>
            </w:tcBorders>
            <w:shd w:val="clear" w:color="auto" w:fill="231F20"/>
          </w:tcPr>
          <w:p>
            <w:pPr>
              <w:spacing w:after="0"/>
              <w:rPr>
                <w:sz w:val="20"/>
                <w:szCs w:val="20"/>
                <w:color w:val="auto"/>
              </w:rPr>
            </w:pPr>
          </w:p>
        </w:tc>
        <w:tc>
          <w:tcPr>
            <w:tcW w:w="1840" w:type="dxa"/>
            <w:vAlign w:val="bottom"/>
            <w:tcBorders>
              <w:top w:val="single" w:sz="8" w:color="231F20"/>
              <w:right w:val="single" w:sz="8" w:color="C7C8CA"/>
            </w:tcBorders>
            <w:shd w:val="clear" w:color="auto" w:fill="231F20"/>
          </w:tcPr>
          <w:p>
            <w:pPr>
              <w:spacing w:after="0"/>
              <w:rPr>
                <w:sz w:val="20"/>
                <w:szCs w:val="20"/>
                <w:color w:val="auto"/>
              </w:rPr>
            </w:pPr>
          </w:p>
        </w:tc>
        <w:tc>
          <w:tcPr>
            <w:tcW w:w="1000" w:type="dxa"/>
            <w:vAlign w:val="bottom"/>
            <w:tcBorders>
              <w:top w:val="single" w:sz="8" w:color="231F20"/>
              <w:right w:val="single" w:sz="8" w:color="C7C8CA"/>
            </w:tcBorders>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rPr>
              <w:t>SUA #</w:t>
            </w:r>
          </w:p>
        </w:tc>
        <w:tc>
          <w:tcPr>
            <w:tcW w:w="1340" w:type="dxa"/>
            <w:vAlign w:val="bottom"/>
            <w:tcBorders>
              <w:top w:val="single" w:sz="8" w:color="231F20"/>
              <w:right w:val="single" w:sz="8" w:color="C7C8CA"/>
            </w:tcBorders>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SUA</w:t>
            </w:r>
          </w:p>
        </w:tc>
        <w:tc>
          <w:tcPr>
            <w:tcW w:w="1340" w:type="dxa"/>
            <w:vAlign w:val="bottom"/>
            <w:tcBorders>
              <w:top w:val="single" w:sz="8" w:color="231F20"/>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SUA Total</w:t>
            </w:r>
          </w:p>
        </w:tc>
        <w:tc>
          <w:tcPr>
            <w:tcW w:w="0" w:type="dxa"/>
            <w:vAlign w:val="bottom"/>
          </w:tcPr>
          <w:p>
            <w:pPr>
              <w:spacing w:after="0"/>
              <w:rPr>
                <w:sz w:val="1"/>
                <w:szCs w:val="1"/>
                <w:color w:val="auto"/>
              </w:rPr>
            </w:pPr>
          </w:p>
        </w:tc>
      </w:tr>
      <w:tr>
        <w:trPr>
          <w:trHeight w:val="108"/>
        </w:trPr>
        <w:tc>
          <w:tcPr>
            <w:tcW w:w="1060" w:type="dxa"/>
            <w:vAlign w:val="bottom"/>
            <w:tcBorders>
              <w:left w:val="single" w:sz="8" w:color="C7C8CA"/>
              <w:right w:val="single" w:sz="8" w:color="C7C8CA"/>
            </w:tcBorders>
            <w:vMerge w:val="continue"/>
            <w:shd w:val="clear" w:color="auto" w:fill="231F20"/>
          </w:tcPr>
          <w:p>
            <w:pPr>
              <w:spacing w:after="0"/>
              <w:rPr>
                <w:sz w:val="9"/>
                <w:szCs w:val="9"/>
                <w:color w:val="auto"/>
              </w:rPr>
            </w:pPr>
          </w:p>
        </w:tc>
        <w:tc>
          <w:tcPr>
            <w:tcW w:w="4660" w:type="dxa"/>
            <w:vAlign w:val="bottom"/>
            <w:tcBorders>
              <w:right w:val="single" w:sz="8" w:color="C7C8CA"/>
            </w:tcBorders>
            <w:vMerge w:val="restart"/>
            <w:shd w:val="clear" w:color="auto" w:fill="231F20"/>
          </w:tcPr>
          <w:p>
            <w:pPr>
              <w:ind w:left="1900"/>
              <w:spacing w:after="0"/>
              <w:rPr>
                <w:sz w:val="20"/>
                <w:szCs w:val="20"/>
                <w:color w:val="auto"/>
              </w:rPr>
            </w:pPr>
            <w:r>
              <w:rPr>
                <w:rFonts w:ascii="Times New Roman" w:cs="Times New Roman" w:eastAsia="Times New Roman" w:hAnsi="Times New Roman"/>
                <w:sz w:val="18"/>
                <w:szCs w:val="18"/>
                <w:b w:val="1"/>
                <w:bCs w:val="1"/>
                <w:color w:val="FFFFFF"/>
              </w:rPr>
              <w:t>Unit Name</w:t>
            </w:r>
          </w:p>
        </w:tc>
        <w:tc>
          <w:tcPr>
            <w:tcW w:w="1840" w:type="dxa"/>
            <w:vAlign w:val="bottom"/>
            <w:tcBorders>
              <w:right w:val="single" w:sz="8" w:color="C7C8CA"/>
            </w:tcBorders>
            <w:vMerge w:val="restart"/>
            <w:shd w:val="clear" w:color="auto" w:fill="231F20"/>
          </w:tcPr>
          <w:p>
            <w:pPr>
              <w:ind w:left="500"/>
              <w:spacing w:after="0"/>
              <w:rPr>
                <w:sz w:val="20"/>
                <w:szCs w:val="20"/>
                <w:color w:val="auto"/>
              </w:rPr>
            </w:pPr>
            <w:r>
              <w:rPr>
                <w:rFonts w:ascii="Times New Roman" w:cs="Times New Roman" w:eastAsia="Times New Roman" w:hAnsi="Times New Roman"/>
                <w:sz w:val="18"/>
                <w:szCs w:val="18"/>
                <w:b w:val="1"/>
                <w:bCs w:val="1"/>
                <w:color w:val="FFFFFF"/>
              </w:rPr>
              <w:t>Unit Basis</w:t>
            </w:r>
          </w:p>
        </w:tc>
        <w:tc>
          <w:tcPr>
            <w:tcW w:w="1000" w:type="dxa"/>
            <w:vAlign w:val="bottom"/>
            <w:tcBorders>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3"/>
              </w:rPr>
              <w:t>of</w:t>
            </w:r>
          </w:p>
        </w:tc>
        <w:tc>
          <w:tcPr>
            <w:tcW w:w="1340" w:type="dxa"/>
            <w:vAlign w:val="bottom"/>
            <w:tcBorders>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Direct</w:t>
            </w:r>
          </w:p>
        </w:tc>
        <w:tc>
          <w:tcPr>
            <w:tcW w:w="1340" w:type="dxa"/>
            <w:vAlign w:val="bottom"/>
            <w:vMerge w:val="continue"/>
            <w:shd w:val="clear" w:color="auto" w:fill="231F2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C7C8CA"/>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w:t>
            </w:r>
          </w:p>
        </w:tc>
        <w:tc>
          <w:tcPr>
            <w:tcW w:w="4660" w:type="dxa"/>
            <w:vAlign w:val="bottom"/>
            <w:tcBorders>
              <w:right w:val="single" w:sz="8" w:color="C7C8CA"/>
            </w:tcBorders>
            <w:vMerge w:val="continue"/>
            <w:shd w:val="clear" w:color="auto" w:fill="231F20"/>
          </w:tcPr>
          <w:p>
            <w:pPr>
              <w:spacing w:after="0"/>
              <w:rPr>
                <w:sz w:val="9"/>
                <w:szCs w:val="9"/>
                <w:color w:val="auto"/>
              </w:rPr>
            </w:pPr>
          </w:p>
        </w:tc>
        <w:tc>
          <w:tcPr>
            <w:tcW w:w="1840" w:type="dxa"/>
            <w:vAlign w:val="bottom"/>
            <w:tcBorders>
              <w:right w:val="single" w:sz="8" w:color="C7C8CA"/>
            </w:tcBorders>
            <w:vMerge w:val="continue"/>
            <w:shd w:val="clear" w:color="auto" w:fill="231F20"/>
          </w:tcPr>
          <w:p>
            <w:pPr>
              <w:spacing w:after="0"/>
              <w:rPr>
                <w:sz w:val="9"/>
                <w:szCs w:val="9"/>
                <w:color w:val="auto"/>
              </w:rPr>
            </w:pPr>
          </w:p>
        </w:tc>
        <w:tc>
          <w:tcPr>
            <w:tcW w:w="1000" w:type="dxa"/>
            <w:vAlign w:val="bottom"/>
            <w:tcBorders>
              <w:right w:val="single" w:sz="8" w:color="C7C8CA"/>
            </w:tcBorders>
            <w:vMerge w:val="continue"/>
            <w:shd w:val="clear" w:color="auto" w:fill="231F20"/>
          </w:tcPr>
          <w:p>
            <w:pPr>
              <w:spacing w:after="0"/>
              <w:rPr>
                <w:sz w:val="9"/>
                <w:szCs w:val="9"/>
                <w:color w:val="auto"/>
              </w:rPr>
            </w:pPr>
          </w:p>
        </w:tc>
        <w:tc>
          <w:tcPr>
            <w:tcW w:w="1340" w:type="dxa"/>
            <w:vAlign w:val="bottom"/>
            <w:tcBorders>
              <w:right w:val="single" w:sz="8" w:color="C7C8CA"/>
            </w:tcBorders>
            <w:vMerge w:val="continue"/>
            <w:shd w:val="clear" w:color="auto" w:fill="231F20"/>
          </w:tcPr>
          <w:p>
            <w:pPr>
              <w:spacing w:after="0"/>
              <w:rPr>
                <w:sz w:val="9"/>
                <w:szCs w:val="9"/>
                <w:color w:val="auto"/>
              </w:rPr>
            </w:pPr>
          </w:p>
        </w:tc>
        <w:tc>
          <w:tcPr>
            <w:tcW w:w="1340" w:type="dxa"/>
            <w:vAlign w:val="bottom"/>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Directs</w:t>
            </w:r>
          </w:p>
        </w:tc>
        <w:tc>
          <w:tcPr>
            <w:tcW w:w="0" w:type="dxa"/>
            <w:vAlign w:val="bottom"/>
          </w:tcPr>
          <w:p>
            <w:pPr>
              <w:spacing w:after="0"/>
              <w:rPr>
                <w:sz w:val="1"/>
                <w:szCs w:val="1"/>
                <w:color w:val="auto"/>
              </w:rPr>
            </w:pPr>
          </w:p>
        </w:tc>
      </w:tr>
      <w:tr>
        <w:trPr>
          <w:trHeight w:val="130"/>
        </w:trPr>
        <w:tc>
          <w:tcPr>
            <w:tcW w:w="1060" w:type="dxa"/>
            <w:vAlign w:val="bottom"/>
            <w:tcBorders>
              <w:left w:val="single" w:sz="8" w:color="C7C8CA"/>
              <w:right w:val="single" w:sz="8" w:color="C7C8CA"/>
            </w:tcBorders>
            <w:vMerge w:val="continue"/>
            <w:shd w:val="clear" w:color="auto" w:fill="231F20"/>
          </w:tcPr>
          <w:p>
            <w:pPr>
              <w:spacing w:after="0"/>
              <w:rPr>
                <w:sz w:val="11"/>
                <w:szCs w:val="11"/>
                <w:color w:val="auto"/>
              </w:rPr>
            </w:pPr>
          </w:p>
        </w:tc>
        <w:tc>
          <w:tcPr>
            <w:tcW w:w="4660" w:type="dxa"/>
            <w:vAlign w:val="bottom"/>
            <w:tcBorders>
              <w:right w:val="single" w:sz="8" w:color="C7C8CA"/>
            </w:tcBorders>
            <w:shd w:val="clear" w:color="auto" w:fill="231F20"/>
          </w:tcPr>
          <w:p>
            <w:pPr>
              <w:spacing w:after="0"/>
              <w:rPr>
                <w:sz w:val="11"/>
                <w:szCs w:val="11"/>
                <w:color w:val="auto"/>
              </w:rPr>
            </w:pPr>
          </w:p>
        </w:tc>
        <w:tc>
          <w:tcPr>
            <w:tcW w:w="1840" w:type="dxa"/>
            <w:vAlign w:val="bottom"/>
            <w:tcBorders>
              <w:right w:val="single" w:sz="8" w:color="C7C8CA"/>
            </w:tcBorders>
            <w:shd w:val="clear" w:color="auto" w:fill="231F20"/>
          </w:tcPr>
          <w:p>
            <w:pPr>
              <w:spacing w:after="0"/>
              <w:rPr>
                <w:sz w:val="11"/>
                <w:szCs w:val="11"/>
                <w:color w:val="auto"/>
              </w:rPr>
            </w:pPr>
          </w:p>
        </w:tc>
        <w:tc>
          <w:tcPr>
            <w:tcW w:w="1000" w:type="dxa"/>
            <w:vAlign w:val="bottom"/>
            <w:tcBorders>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rPr>
              <w:t>Units</w:t>
            </w:r>
          </w:p>
        </w:tc>
        <w:tc>
          <w:tcPr>
            <w:tcW w:w="1340" w:type="dxa"/>
            <w:vAlign w:val="bottom"/>
            <w:tcBorders>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rPr>
              <w:t>Unit Cost</w:t>
            </w:r>
          </w:p>
        </w:tc>
        <w:tc>
          <w:tcPr>
            <w:tcW w:w="1340" w:type="dxa"/>
            <w:vAlign w:val="bottom"/>
            <w:vMerge w:val="continue"/>
            <w:shd w:val="clear" w:color="auto" w:fill="231F20"/>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Borders>
              <w:left w:val="single" w:sz="8" w:color="C7C8CA"/>
              <w:bottom w:val="single" w:sz="8" w:color="C7C8CA"/>
              <w:right w:val="single" w:sz="8" w:color="C7C8CA"/>
            </w:tcBorders>
            <w:shd w:val="clear" w:color="auto" w:fill="231F20"/>
          </w:tcPr>
          <w:p>
            <w:pPr>
              <w:spacing w:after="0"/>
              <w:rPr>
                <w:sz w:val="12"/>
                <w:szCs w:val="12"/>
                <w:color w:val="auto"/>
              </w:rPr>
            </w:pPr>
          </w:p>
        </w:tc>
        <w:tc>
          <w:tcPr>
            <w:tcW w:w="4660" w:type="dxa"/>
            <w:vAlign w:val="bottom"/>
            <w:tcBorders>
              <w:bottom w:val="single" w:sz="8" w:color="C7C8CA"/>
              <w:right w:val="single" w:sz="8" w:color="C7C8CA"/>
            </w:tcBorders>
            <w:shd w:val="clear" w:color="auto" w:fill="231F20"/>
          </w:tcPr>
          <w:p>
            <w:pPr>
              <w:spacing w:after="0"/>
              <w:rPr>
                <w:sz w:val="12"/>
                <w:szCs w:val="12"/>
                <w:color w:val="auto"/>
              </w:rPr>
            </w:pPr>
          </w:p>
        </w:tc>
        <w:tc>
          <w:tcPr>
            <w:tcW w:w="1840" w:type="dxa"/>
            <w:vAlign w:val="bottom"/>
            <w:tcBorders>
              <w:bottom w:val="single" w:sz="8" w:color="C7C8CA"/>
              <w:right w:val="single" w:sz="8" w:color="C7C8CA"/>
            </w:tcBorders>
            <w:shd w:val="clear" w:color="auto" w:fill="231F20"/>
          </w:tcPr>
          <w:p>
            <w:pPr>
              <w:spacing w:after="0"/>
              <w:rPr>
                <w:sz w:val="12"/>
                <w:szCs w:val="12"/>
                <w:color w:val="auto"/>
              </w:rPr>
            </w:pPr>
          </w:p>
        </w:tc>
        <w:tc>
          <w:tcPr>
            <w:tcW w:w="1000" w:type="dxa"/>
            <w:vAlign w:val="bottom"/>
            <w:tcBorders>
              <w:bottom w:val="single" w:sz="8" w:color="C7C8CA"/>
              <w:right w:val="single" w:sz="8" w:color="C7C8CA"/>
            </w:tcBorders>
            <w:vMerge w:val="continue"/>
            <w:shd w:val="clear" w:color="auto" w:fill="231F20"/>
          </w:tcPr>
          <w:p>
            <w:pPr>
              <w:spacing w:after="0"/>
              <w:rPr>
                <w:sz w:val="12"/>
                <w:szCs w:val="12"/>
                <w:color w:val="auto"/>
              </w:rPr>
            </w:pPr>
          </w:p>
        </w:tc>
        <w:tc>
          <w:tcPr>
            <w:tcW w:w="1340" w:type="dxa"/>
            <w:vAlign w:val="bottom"/>
            <w:tcBorders>
              <w:bottom w:val="single" w:sz="8" w:color="C7C8CA"/>
              <w:right w:val="single" w:sz="8" w:color="C7C8CA"/>
            </w:tcBorders>
            <w:vMerge w:val="continue"/>
            <w:shd w:val="clear" w:color="auto" w:fill="231F20"/>
          </w:tcPr>
          <w:p>
            <w:pPr>
              <w:spacing w:after="0"/>
              <w:rPr>
                <w:sz w:val="12"/>
                <w:szCs w:val="12"/>
                <w:color w:val="auto"/>
              </w:rPr>
            </w:pPr>
          </w:p>
        </w:tc>
        <w:tc>
          <w:tcPr>
            <w:tcW w:w="1340" w:type="dxa"/>
            <w:vAlign w:val="bottom"/>
            <w:tcBorders>
              <w:bottom w:val="single" w:sz="8" w:color="C7C8CA"/>
            </w:tcBorders>
            <w:shd w:val="clear" w:color="auto" w:fill="231F20"/>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060" w:type="dxa"/>
            <w:vAlign w:val="bottom"/>
            <w:tcBorders>
              <w:top w:val="single" w:sz="8" w:color="C7C8CA"/>
              <w:left w:val="single" w:sz="8" w:color="C7C8CA"/>
              <w:right w:val="single" w:sz="8" w:color="C7C8CA"/>
            </w:tcBorders>
            <w:vMerge w:val="restart"/>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1</w:t>
            </w:r>
          </w:p>
        </w:tc>
        <w:tc>
          <w:tcPr>
            <w:tcW w:w="4660" w:type="dxa"/>
            <w:vAlign w:val="bottom"/>
            <w:tcBorders>
              <w:top w:val="single" w:sz="8" w:color="15489E"/>
              <w:right w:val="single" w:sz="8" w:color="C7C8CA"/>
            </w:tcBorders>
            <w:shd w:val="clear" w:color="auto" w:fill="15489E"/>
          </w:tcPr>
          <w:p>
            <w:pPr>
              <w:ind w:left="40"/>
              <w:spacing w:after="0" w:line="181" w:lineRule="exact"/>
              <w:rPr>
                <w:sz w:val="20"/>
                <w:szCs w:val="20"/>
                <w:color w:val="auto"/>
              </w:rPr>
            </w:pPr>
            <w:r>
              <w:rPr>
                <w:rFonts w:ascii="Times New Roman" w:cs="Times New Roman" w:eastAsia="Times New Roman" w:hAnsi="Times New Roman"/>
                <w:sz w:val="18"/>
                <w:szCs w:val="18"/>
                <w:b w:val="1"/>
                <w:bCs w:val="1"/>
                <w:color w:val="FFFFFF"/>
              </w:rPr>
              <w:t>REGULATORY AFFAIRS &amp;</w:t>
            </w:r>
          </w:p>
        </w:tc>
        <w:tc>
          <w:tcPr>
            <w:tcW w:w="1840" w:type="dxa"/>
            <w:vAlign w:val="bottom"/>
            <w:tcBorders>
              <w:top w:val="single" w:sz="8" w:color="15489E"/>
              <w:right w:val="single" w:sz="8" w:color="C7C8CA"/>
            </w:tcBorders>
            <w:shd w:val="clear" w:color="auto" w:fill="15489E"/>
          </w:tcPr>
          <w:p>
            <w:pPr>
              <w:spacing w:after="0"/>
              <w:rPr>
                <w:sz w:val="15"/>
                <w:szCs w:val="15"/>
                <w:color w:val="auto"/>
              </w:rPr>
            </w:pPr>
          </w:p>
        </w:tc>
        <w:tc>
          <w:tcPr>
            <w:tcW w:w="1000" w:type="dxa"/>
            <w:vAlign w:val="bottom"/>
            <w:tcBorders>
              <w:top w:val="single" w:sz="8" w:color="15489E"/>
              <w:right w:val="single" w:sz="8" w:color="C7C8CA"/>
            </w:tcBorders>
            <w:shd w:val="clear" w:color="auto" w:fill="15489E"/>
          </w:tcPr>
          <w:p>
            <w:pPr>
              <w:spacing w:after="0"/>
              <w:rPr>
                <w:sz w:val="15"/>
                <w:szCs w:val="15"/>
                <w:color w:val="auto"/>
              </w:rPr>
            </w:pPr>
          </w:p>
        </w:tc>
        <w:tc>
          <w:tcPr>
            <w:tcW w:w="1340" w:type="dxa"/>
            <w:vAlign w:val="bottom"/>
            <w:tcBorders>
              <w:top w:val="single" w:sz="8" w:color="15489E"/>
              <w:right w:val="single" w:sz="8" w:color="C7C8CA"/>
            </w:tcBorders>
            <w:shd w:val="clear" w:color="auto" w:fill="15489E"/>
          </w:tcPr>
          <w:p>
            <w:pPr>
              <w:spacing w:after="0"/>
              <w:rPr>
                <w:sz w:val="15"/>
                <w:szCs w:val="15"/>
                <w:color w:val="auto"/>
              </w:rPr>
            </w:pPr>
          </w:p>
        </w:tc>
        <w:tc>
          <w:tcPr>
            <w:tcW w:w="1340" w:type="dxa"/>
            <w:vAlign w:val="bottom"/>
            <w:tcBorders>
              <w:top w:val="single" w:sz="8" w:color="15489E"/>
            </w:tcBorders>
            <w:vMerge w:val="restart"/>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$63,573</w:t>
            </w:r>
          </w:p>
        </w:tc>
        <w:tc>
          <w:tcPr>
            <w:tcW w:w="0" w:type="dxa"/>
            <w:vAlign w:val="bottom"/>
          </w:tcPr>
          <w:p>
            <w:pPr>
              <w:spacing w:after="0"/>
              <w:rPr>
                <w:sz w:val="1"/>
                <w:szCs w:val="1"/>
                <w:color w:val="auto"/>
              </w:rPr>
            </w:pPr>
          </w:p>
        </w:tc>
      </w:tr>
      <w:tr>
        <w:trPr>
          <w:trHeight w:val="130"/>
        </w:trPr>
        <w:tc>
          <w:tcPr>
            <w:tcW w:w="1060" w:type="dxa"/>
            <w:vAlign w:val="bottom"/>
            <w:tcBorders>
              <w:left w:val="single" w:sz="8" w:color="C7C8CA"/>
              <w:right w:val="single" w:sz="8" w:color="C7C8CA"/>
            </w:tcBorders>
            <w:vMerge w:val="continue"/>
            <w:shd w:val="clear" w:color="auto" w:fill="15489E"/>
          </w:tcPr>
          <w:p>
            <w:pPr>
              <w:spacing w:after="0"/>
              <w:rPr>
                <w:sz w:val="11"/>
                <w:szCs w:val="11"/>
                <w:color w:val="auto"/>
              </w:rPr>
            </w:pPr>
          </w:p>
        </w:tc>
        <w:tc>
          <w:tcPr>
            <w:tcW w:w="4660" w:type="dxa"/>
            <w:vAlign w:val="bottom"/>
            <w:tcBorders>
              <w:right w:val="single" w:sz="8" w:color="C7C8CA"/>
            </w:tcBorders>
            <w:vMerge w:val="restart"/>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INVESTIGATOR SERVICES</w:t>
            </w:r>
          </w:p>
        </w:tc>
        <w:tc>
          <w:tcPr>
            <w:tcW w:w="1840" w:type="dxa"/>
            <w:vAlign w:val="bottom"/>
            <w:tcBorders>
              <w:right w:val="single" w:sz="8" w:color="C7C8CA"/>
            </w:tcBorders>
            <w:shd w:val="clear" w:color="auto" w:fill="15489E"/>
          </w:tcPr>
          <w:p>
            <w:pPr>
              <w:spacing w:after="0"/>
              <w:rPr>
                <w:sz w:val="11"/>
                <w:szCs w:val="11"/>
                <w:color w:val="auto"/>
              </w:rPr>
            </w:pPr>
          </w:p>
        </w:tc>
        <w:tc>
          <w:tcPr>
            <w:tcW w:w="1000" w:type="dxa"/>
            <w:vAlign w:val="bottom"/>
            <w:tcBorders>
              <w:right w:val="single" w:sz="8" w:color="C7C8CA"/>
            </w:tcBorders>
            <w:shd w:val="clear" w:color="auto" w:fill="15489E"/>
          </w:tcPr>
          <w:p>
            <w:pPr>
              <w:spacing w:after="0"/>
              <w:rPr>
                <w:sz w:val="11"/>
                <w:szCs w:val="11"/>
                <w:color w:val="auto"/>
              </w:rPr>
            </w:pPr>
          </w:p>
        </w:tc>
        <w:tc>
          <w:tcPr>
            <w:tcW w:w="1340" w:type="dxa"/>
            <w:vAlign w:val="bottom"/>
            <w:tcBorders>
              <w:right w:val="single" w:sz="8" w:color="C7C8CA"/>
            </w:tcBorders>
            <w:shd w:val="clear" w:color="auto" w:fill="15489E"/>
          </w:tcPr>
          <w:p>
            <w:pPr>
              <w:spacing w:after="0"/>
              <w:rPr>
                <w:sz w:val="11"/>
                <w:szCs w:val="11"/>
                <w:color w:val="auto"/>
              </w:rPr>
            </w:pPr>
          </w:p>
        </w:tc>
        <w:tc>
          <w:tcPr>
            <w:tcW w:w="1340" w:type="dxa"/>
            <w:vAlign w:val="bottom"/>
            <w:vMerge w:val="continue"/>
            <w:shd w:val="clear" w:color="auto" w:fill="15489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shd w:val="clear" w:color="auto" w:fill="15489E"/>
          </w:tcPr>
          <w:p>
            <w:pPr>
              <w:spacing w:after="0"/>
              <w:rPr>
                <w:sz w:val="10"/>
                <w:szCs w:val="10"/>
                <w:color w:val="auto"/>
              </w:rPr>
            </w:pPr>
          </w:p>
        </w:tc>
        <w:tc>
          <w:tcPr>
            <w:tcW w:w="4660" w:type="dxa"/>
            <w:vAlign w:val="bottom"/>
            <w:tcBorders>
              <w:bottom w:val="single" w:sz="8" w:color="C7C8CA"/>
              <w:right w:val="single" w:sz="8" w:color="C7C8CA"/>
            </w:tcBorders>
            <w:vMerge w:val="continue"/>
            <w:shd w:val="clear" w:color="auto" w:fill="15489E"/>
          </w:tcPr>
          <w:p>
            <w:pPr>
              <w:spacing w:after="0"/>
              <w:rPr>
                <w:sz w:val="10"/>
                <w:szCs w:val="10"/>
                <w:color w:val="auto"/>
              </w:rPr>
            </w:pPr>
          </w:p>
        </w:tc>
        <w:tc>
          <w:tcPr>
            <w:tcW w:w="1840" w:type="dxa"/>
            <w:vAlign w:val="bottom"/>
            <w:tcBorders>
              <w:bottom w:val="single" w:sz="8" w:color="C7C8CA"/>
              <w:right w:val="single" w:sz="8" w:color="C7C8CA"/>
            </w:tcBorders>
            <w:shd w:val="clear" w:color="auto" w:fill="15489E"/>
          </w:tcPr>
          <w:p>
            <w:pPr>
              <w:spacing w:after="0"/>
              <w:rPr>
                <w:sz w:val="10"/>
                <w:szCs w:val="10"/>
                <w:color w:val="auto"/>
              </w:rPr>
            </w:pPr>
          </w:p>
        </w:tc>
        <w:tc>
          <w:tcPr>
            <w:tcW w:w="1000" w:type="dxa"/>
            <w:vAlign w:val="bottom"/>
            <w:tcBorders>
              <w:bottom w:val="single" w:sz="8" w:color="C7C8CA"/>
              <w:right w:val="single" w:sz="8" w:color="C7C8CA"/>
            </w:tcBorders>
            <w:shd w:val="clear" w:color="auto" w:fill="15489E"/>
          </w:tcPr>
          <w:p>
            <w:pPr>
              <w:spacing w:after="0"/>
              <w:rPr>
                <w:sz w:val="10"/>
                <w:szCs w:val="10"/>
                <w:color w:val="auto"/>
              </w:rPr>
            </w:pPr>
          </w:p>
        </w:tc>
        <w:tc>
          <w:tcPr>
            <w:tcW w:w="1340" w:type="dxa"/>
            <w:vAlign w:val="bottom"/>
            <w:tcBorders>
              <w:bottom w:val="single" w:sz="8" w:color="C7C8CA"/>
              <w:right w:val="single" w:sz="8" w:color="C7C8CA"/>
            </w:tcBorders>
            <w:shd w:val="clear" w:color="auto" w:fill="15489E"/>
          </w:tcPr>
          <w:p>
            <w:pPr>
              <w:spacing w:after="0"/>
              <w:rPr>
                <w:sz w:val="10"/>
                <w:szCs w:val="10"/>
                <w:color w:val="auto"/>
              </w:rPr>
            </w:pPr>
          </w:p>
        </w:tc>
        <w:tc>
          <w:tcPr>
            <w:tcW w:w="1340" w:type="dxa"/>
            <w:vAlign w:val="bottom"/>
            <w:tcBorders>
              <w:bottom w:val="single" w:sz="8" w:color="C7C8CA"/>
            </w:tcBorders>
            <w:shd w:val="clear" w:color="auto" w:fill="15489E"/>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1.02</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RegOps Management &amp; Oversight Through</w:t>
            </w: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month</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3</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$8,080.00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$24,240</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Last Site Activated</w:t>
            </w:r>
          </w:p>
        </w:tc>
        <w:tc>
          <w:tcPr>
            <w:tcW w:w="1840" w:type="dxa"/>
            <w:vAlign w:val="bottom"/>
            <w:tcBorders>
              <w:right w:val="single" w:sz="8" w:color="C7C8CA"/>
            </w:tcBorders>
            <w:vMerge w:val="continue"/>
          </w:tcPr>
          <w:p>
            <w:pPr>
              <w:spacing w:after="0"/>
              <w:rPr>
                <w:sz w:val="10"/>
                <w:szCs w:val="10"/>
                <w:color w:val="auto"/>
              </w:rPr>
            </w:pP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vMerge w:val="continue"/>
          </w:tcPr>
          <w:p>
            <w:pPr>
              <w:spacing w:after="0"/>
              <w:rPr>
                <w:sz w:val="10"/>
                <w:szCs w:val="10"/>
                <w:color w:val="auto"/>
              </w:rPr>
            </w:pPr>
          </w:p>
        </w:tc>
        <w:tc>
          <w:tcPr>
            <w:tcW w:w="1840" w:type="dxa"/>
            <w:vAlign w:val="bottom"/>
            <w:tcBorders>
              <w:bottom w:val="single" w:sz="8" w:color="C7C8CA"/>
              <w:right w:val="single" w:sz="8" w:color="C7C8CA"/>
            </w:tcBorders>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5"/>
              </w:rPr>
              <w:t>1.11</w:t>
            </w: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Site Identification and Feasibility</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site</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15</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$1,204.00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$18,060</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continue"/>
          </w:tcPr>
          <w:p>
            <w:pPr>
              <w:spacing w:after="0"/>
              <w:rPr>
                <w:sz w:val="10"/>
                <w:szCs w:val="10"/>
                <w:color w:val="auto"/>
              </w:rPr>
            </w:pP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identified</w:t>
            </w: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tcPr>
          <w:p>
            <w:pPr>
              <w:spacing w:after="0"/>
              <w:rPr>
                <w:sz w:val="10"/>
                <w:szCs w:val="10"/>
                <w:color w:val="auto"/>
              </w:rPr>
            </w:pPr>
          </w:p>
        </w:tc>
        <w:tc>
          <w:tcPr>
            <w:tcW w:w="1840" w:type="dxa"/>
            <w:vAlign w:val="bottom"/>
            <w:tcBorders>
              <w:bottom w:val="single" w:sz="8" w:color="C7C8CA"/>
              <w:right w:val="single" w:sz="8" w:color="C7C8CA"/>
            </w:tcBorders>
            <w:vMerge w:val="continue"/>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1.12</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Master ICF Development</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master ICF</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$2,320.00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$2,320</w:t>
            </w:r>
          </w:p>
        </w:tc>
        <w:tc>
          <w:tcPr>
            <w:tcW w:w="0" w:type="dxa"/>
            <w:vAlign w:val="bottom"/>
          </w:tcPr>
          <w:p>
            <w:pPr>
              <w:spacing w:after="0"/>
              <w:rPr>
                <w:sz w:val="1"/>
                <w:szCs w:val="1"/>
                <w:color w:val="auto"/>
              </w:rPr>
            </w:pPr>
          </w:p>
        </w:tc>
      </w:tr>
      <w:tr>
        <w:trPr>
          <w:trHeight w:val="209"/>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1.14</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Collection and Review of Essential</w:t>
            </w: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site</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2</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$2,527.50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$5,055</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Documents</w:t>
            </w:r>
          </w:p>
        </w:tc>
        <w:tc>
          <w:tcPr>
            <w:tcW w:w="1840" w:type="dxa"/>
            <w:vAlign w:val="bottom"/>
            <w:tcBorders>
              <w:right w:val="single" w:sz="8" w:color="C7C8CA"/>
            </w:tcBorders>
            <w:vMerge w:val="continue"/>
          </w:tcPr>
          <w:p>
            <w:pPr>
              <w:spacing w:after="0"/>
              <w:rPr>
                <w:sz w:val="10"/>
                <w:szCs w:val="10"/>
                <w:color w:val="auto"/>
              </w:rPr>
            </w:pP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vMerge w:val="continue"/>
          </w:tcPr>
          <w:p>
            <w:pPr>
              <w:spacing w:after="0"/>
              <w:rPr>
                <w:sz w:val="10"/>
                <w:szCs w:val="10"/>
                <w:color w:val="auto"/>
              </w:rPr>
            </w:pPr>
          </w:p>
        </w:tc>
        <w:tc>
          <w:tcPr>
            <w:tcW w:w="1840" w:type="dxa"/>
            <w:vAlign w:val="bottom"/>
            <w:tcBorders>
              <w:bottom w:val="single" w:sz="8" w:color="C7C8CA"/>
              <w:right w:val="single" w:sz="8" w:color="C7C8CA"/>
            </w:tcBorders>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1.16</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Initial IRB/EC Submissions</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site</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$1,767.00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$3,534</w:t>
            </w:r>
          </w:p>
        </w:tc>
        <w:tc>
          <w:tcPr>
            <w:tcW w:w="0" w:type="dxa"/>
            <w:vAlign w:val="bottom"/>
          </w:tcPr>
          <w:p>
            <w:pPr>
              <w:spacing w:after="0"/>
              <w:rPr>
                <w:sz w:val="1"/>
                <w:szCs w:val="1"/>
                <w:color w:val="auto"/>
              </w:rPr>
            </w:pPr>
          </w:p>
        </w:tc>
      </w:tr>
      <w:tr>
        <w:trPr>
          <w:trHeight w:val="237"/>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1.18</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eTMF Set-up</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study</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$3,496.25</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$3,496</w:t>
            </w:r>
          </w:p>
        </w:tc>
        <w:tc>
          <w:tcPr>
            <w:tcW w:w="0" w:type="dxa"/>
            <w:vAlign w:val="bottom"/>
          </w:tcPr>
          <w:p>
            <w:pPr>
              <w:spacing w:after="0"/>
              <w:rPr>
                <w:sz w:val="1"/>
                <w:szCs w:val="1"/>
                <w:color w:val="auto"/>
              </w:rPr>
            </w:pPr>
          </w:p>
        </w:tc>
      </w:tr>
      <w:tr>
        <w:trPr>
          <w:trHeight w:val="236"/>
        </w:trPr>
        <w:tc>
          <w:tcPr>
            <w:tcW w:w="1060" w:type="dxa"/>
            <w:vAlign w:val="bottom"/>
            <w:tcBorders>
              <w:left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1.25</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Site Contract and Budget Management</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site</w:t>
            </w:r>
          </w:p>
        </w:tc>
        <w:tc>
          <w:tcPr>
            <w:tcW w:w="100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w:t>
            </w:r>
          </w:p>
        </w:tc>
        <w:tc>
          <w:tcPr>
            <w:tcW w:w="134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$3,434.00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$6,868</w:t>
            </w:r>
          </w:p>
        </w:tc>
        <w:tc>
          <w:tcPr>
            <w:tcW w:w="0" w:type="dxa"/>
            <w:vAlign w:val="bottom"/>
          </w:tcPr>
          <w:p>
            <w:pPr>
              <w:spacing w:after="0"/>
              <w:rPr>
                <w:sz w:val="1"/>
                <w:szCs w:val="1"/>
                <w:color w:val="auto"/>
              </w:rPr>
            </w:pPr>
          </w:p>
        </w:tc>
      </w:tr>
      <w:tr>
        <w:trPr>
          <w:trHeight w:val="274"/>
        </w:trPr>
        <w:tc>
          <w:tcPr>
            <w:tcW w:w="1060" w:type="dxa"/>
            <w:vAlign w:val="bottom"/>
            <w:tcBorders>
              <w:left w:val="single" w:sz="8" w:color="C7C8CA"/>
              <w:right w:val="single" w:sz="8" w:color="C7C8CA"/>
            </w:tcBorders>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2</w:t>
            </w:r>
          </w:p>
        </w:tc>
        <w:tc>
          <w:tcPr>
            <w:tcW w:w="4660" w:type="dxa"/>
            <w:vAlign w:val="bottom"/>
            <w:tcBorders>
              <w:right w:val="single" w:sz="8" w:color="C7C8CA"/>
            </w:tcBorders>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PROJECT MANAGEMENT</w:t>
            </w:r>
          </w:p>
        </w:tc>
        <w:tc>
          <w:tcPr>
            <w:tcW w:w="1840" w:type="dxa"/>
            <w:vAlign w:val="bottom"/>
            <w:tcBorders>
              <w:right w:val="single" w:sz="8" w:color="C7C8CA"/>
            </w:tcBorders>
            <w:shd w:val="clear" w:color="auto" w:fill="15489E"/>
          </w:tcPr>
          <w:p>
            <w:pPr>
              <w:spacing w:after="0"/>
              <w:rPr>
                <w:sz w:val="23"/>
                <w:szCs w:val="23"/>
                <w:color w:val="auto"/>
              </w:rPr>
            </w:pPr>
          </w:p>
        </w:tc>
        <w:tc>
          <w:tcPr>
            <w:tcW w:w="1000" w:type="dxa"/>
            <w:vAlign w:val="bottom"/>
            <w:tcBorders>
              <w:right w:val="single" w:sz="8" w:color="C7C8CA"/>
            </w:tcBorders>
            <w:shd w:val="clear" w:color="auto" w:fill="15489E"/>
          </w:tcPr>
          <w:p>
            <w:pPr>
              <w:spacing w:after="0"/>
              <w:rPr>
                <w:sz w:val="23"/>
                <w:szCs w:val="23"/>
                <w:color w:val="auto"/>
              </w:rPr>
            </w:pPr>
          </w:p>
        </w:tc>
        <w:tc>
          <w:tcPr>
            <w:tcW w:w="1340" w:type="dxa"/>
            <w:vAlign w:val="bottom"/>
            <w:tcBorders>
              <w:right w:val="single" w:sz="8" w:color="C7C8CA"/>
            </w:tcBorders>
            <w:shd w:val="clear" w:color="auto" w:fill="15489E"/>
          </w:tcPr>
          <w:p>
            <w:pPr>
              <w:spacing w:after="0"/>
              <w:rPr>
                <w:sz w:val="23"/>
                <w:szCs w:val="23"/>
                <w:color w:val="auto"/>
              </w:rPr>
            </w:pPr>
          </w:p>
        </w:tc>
        <w:tc>
          <w:tcPr>
            <w:tcW w:w="1340" w:type="dxa"/>
            <w:vAlign w:val="bottom"/>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$116,534</w:t>
            </w:r>
          </w:p>
        </w:tc>
        <w:tc>
          <w:tcPr>
            <w:tcW w:w="0" w:type="dxa"/>
            <w:vAlign w:val="bottom"/>
          </w:tcPr>
          <w:p>
            <w:pPr>
              <w:spacing w:after="0"/>
              <w:rPr>
                <w:sz w:val="1"/>
                <w:szCs w:val="1"/>
                <w:color w:val="auto"/>
              </w:rPr>
            </w:pPr>
          </w:p>
        </w:tc>
      </w:tr>
      <w:tr>
        <w:trPr>
          <w:trHeight w:val="239"/>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2.02</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Project Management Plan - Initial</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plan</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$3,446.00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$3,446</w:t>
            </w:r>
          </w:p>
        </w:tc>
        <w:tc>
          <w:tcPr>
            <w:tcW w:w="0" w:type="dxa"/>
            <w:vAlign w:val="bottom"/>
          </w:tcPr>
          <w:p>
            <w:pPr>
              <w:spacing w:after="0"/>
              <w:rPr>
                <w:sz w:val="1"/>
                <w:szCs w:val="1"/>
                <w:color w:val="auto"/>
              </w:rPr>
            </w:pPr>
          </w:p>
        </w:tc>
      </w:tr>
      <w:tr>
        <w:trPr>
          <w:trHeight w:val="237"/>
        </w:trPr>
        <w:tc>
          <w:tcPr>
            <w:tcW w:w="1060" w:type="dxa"/>
            <w:vAlign w:val="bottom"/>
            <w:tcBorders>
              <w:left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2.04</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Project Management: Start-Up Period Period</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month</w:t>
            </w:r>
          </w:p>
        </w:tc>
        <w:tc>
          <w:tcPr>
            <w:tcW w:w="100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w:t>
            </w:r>
          </w:p>
        </w:tc>
        <w:tc>
          <w:tcPr>
            <w:tcW w:w="134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$37,696.00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$113,088</w:t>
            </w:r>
          </w:p>
        </w:tc>
        <w:tc>
          <w:tcPr>
            <w:tcW w:w="0" w:type="dxa"/>
            <w:vAlign w:val="bottom"/>
          </w:tcPr>
          <w:p>
            <w:pPr>
              <w:spacing w:after="0"/>
              <w:rPr>
                <w:sz w:val="1"/>
                <w:szCs w:val="1"/>
                <w:color w:val="auto"/>
              </w:rPr>
            </w:pPr>
          </w:p>
        </w:tc>
      </w:tr>
      <w:tr>
        <w:trPr>
          <w:trHeight w:val="274"/>
        </w:trPr>
        <w:tc>
          <w:tcPr>
            <w:tcW w:w="1060" w:type="dxa"/>
            <w:vAlign w:val="bottom"/>
            <w:tcBorders>
              <w:left w:val="single" w:sz="8" w:color="C7C8CA"/>
              <w:right w:val="single" w:sz="8" w:color="C7C8CA"/>
            </w:tcBorders>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3</w:t>
            </w:r>
          </w:p>
        </w:tc>
        <w:tc>
          <w:tcPr>
            <w:tcW w:w="4660" w:type="dxa"/>
            <w:vAlign w:val="bottom"/>
            <w:tcBorders>
              <w:right w:val="single" w:sz="8" w:color="C7C8CA"/>
            </w:tcBorders>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STUDY MEETINGS AND TRAINING</w:t>
            </w:r>
          </w:p>
        </w:tc>
        <w:tc>
          <w:tcPr>
            <w:tcW w:w="1840" w:type="dxa"/>
            <w:vAlign w:val="bottom"/>
            <w:tcBorders>
              <w:right w:val="single" w:sz="8" w:color="C7C8CA"/>
            </w:tcBorders>
            <w:shd w:val="clear" w:color="auto" w:fill="15489E"/>
          </w:tcPr>
          <w:p>
            <w:pPr>
              <w:spacing w:after="0"/>
              <w:rPr>
                <w:sz w:val="23"/>
                <w:szCs w:val="23"/>
                <w:color w:val="auto"/>
              </w:rPr>
            </w:pPr>
          </w:p>
        </w:tc>
        <w:tc>
          <w:tcPr>
            <w:tcW w:w="1000" w:type="dxa"/>
            <w:vAlign w:val="bottom"/>
            <w:tcBorders>
              <w:right w:val="single" w:sz="8" w:color="C7C8CA"/>
            </w:tcBorders>
            <w:shd w:val="clear" w:color="auto" w:fill="15489E"/>
          </w:tcPr>
          <w:p>
            <w:pPr>
              <w:spacing w:after="0"/>
              <w:rPr>
                <w:sz w:val="23"/>
                <w:szCs w:val="23"/>
                <w:color w:val="auto"/>
              </w:rPr>
            </w:pPr>
          </w:p>
        </w:tc>
        <w:tc>
          <w:tcPr>
            <w:tcW w:w="1340" w:type="dxa"/>
            <w:vAlign w:val="bottom"/>
            <w:tcBorders>
              <w:right w:val="single" w:sz="8" w:color="C7C8CA"/>
            </w:tcBorders>
            <w:shd w:val="clear" w:color="auto" w:fill="15489E"/>
          </w:tcPr>
          <w:p>
            <w:pPr>
              <w:spacing w:after="0"/>
              <w:rPr>
                <w:sz w:val="23"/>
                <w:szCs w:val="23"/>
                <w:color w:val="auto"/>
              </w:rPr>
            </w:pPr>
          </w:p>
        </w:tc>
        <w:tc>
          <w:tcPr>
            <w:tcW w:w="1340" w:type="dxa"/>
            <w:vAlign w:val="bottom"/>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$95,430</w:t>
            </w:r>
          </w:p>
        </w:tc>
        <w:tc>
          <w:tcPr>
            <w:tcW w:w="0" w:type="dxa"/>
            <w:vAlign w:val="bottom"/>
          </w:tcPr>
          <w:p>
            <w:pPr>
              <w:spacing w:after="0"/>
              <w:rPr>
                <w:sz w:val="1"/>
                <w:szCs w:val="1"/>
                <w:color w:val="auto"/>
              </w:rPr>
            </w:pPr>
          </w:p>
        </w:tc>
      </w:tr>
      <w:tr>
        <w:trPr>
          <w:trHeight w:val="239"/>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3.02</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Study Kick-off Meeting - Face-to-Face</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meeting</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$26,264.00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$26,264</w:t>
            </w:r>
          </w:p>
        </w:tc>
        <w:tc>
          <w:tcPr>
            <w:tcW w:w="0" w:type="dxa"/>
            <w:vAlign w:val="bottom"/>
          </w:tcPr>
          <w:p>
            <w:pPr>
              <w:spacing w:after="0"/>
              <w:rPr>
                <w:sz w:val="1"/>
                <w:szCs w:val="1"/>
                <w:color w:val="auto"/>
              </w:rPr>
            </w:pPr>
          </w:p>
        </w:tc>
      </w:tr>
      <w:tr>
        <w:trPr>
          <w:trHeight w:val="236"/>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3.03</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CRA Training Meeting - Teleconference</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meeting</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$6,048.00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$6,048</w:t>
            </w:r>
          </w:p>
        </w:tc>
        <w:tc>
          <w:tcPr>
            <w:tcW w:w="0" w:type="dxa"/>
            <w:vAlign w:val="bottom"/>
          </w:tcPr>
          <w:p>
            <w:pPr>
              <w:spacing w:after="0"/>
              <w:rPr>
                <w:sz w:val="1"/>
                <w:szCs w:val="1"/>
                <w:color w:val="auto"/>
              </w:rPr>
            </w:pPr>
          </w:p>
        </w:tc>
      </w:tr>
      <w:tr>
        <w:trPr>
          <w:trHeight w:val="237"/>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3.04</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Sponsor Teleconferences: Start-Up Period</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meeting</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12</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$1,821.00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$21,852</w:t>
            </w:r>
          </w:p>
        </w:tc>
        <w:tc>
          <w:tcPr>
            <w:tcW w:w="0" w:type="dxa"/>
            <w:vAlign w:val="bottom"/>
          </w:tcPr>
          <w:p>
            <w:pPr>
              <w:spacing w:after="0"/>
              <w:rPr>
                <w:sz w:val="1"/>
                <w:szCs w:val="1"/>
                <w:color w:val="auto"/>
              </w:rPr>
            </w:pPr>
          </w:p>
        </w:tc>
      </w:tr>
      <w:tr>
        <w:trPr>
          <w:trHeight w:val="209"/>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3.12</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Internal Team Teleconferences: Start-Up</w:t>
            </w: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meeting</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12</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$1,547.00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$18,564</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Period</w:t>
            </w:r>
          </w:p>
        </w:tc>
        <w:tc>
          <w:tcPr>
            <w:tcW w:w="1840" w:type="dxa"/>
            <w:vAlign w:val="bottom"/>
            <w:tcBorders>
              <w:right w:val="single" w:sz="8" w:color="C7C8CA"/>
            </w:tcBorders>
            <w:vMerge w:val="continue"/>
          </w:tcPr>
          <w:p>
            <w:pPr>
              <w:spacing w:after="0"/>
              <w:rPr>
                <w:sz w:val="10"/>
                <w:szCs w:val="10"/>
                <w:color w:val="auto"/>
              </w:rPr>
            </w:pP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vMerge w:val="continue"/>
          </w:tcPr>
          <w:p>
            <w:pPr>
              <w:spacing w:after="0"/>
              <w:rPr>
                <w:sz w:val="10"/>
                <w:szCs w:val="10"/>
                <w:color w:val="auto"/>
              </w:rPr>
            </w:pPr>
          </w:p>
        </w:tc>
        <w:tc>
          <w:tcPr>
            <w:tcW w:w="1840" w:type="dxa"/>
            <w:vAlign w:val="bottom"/>
            <w:tcBorders>
              <w:bottom w:val="single" w:sz="8" w:color="C7C8CA"/>
              <w:right w:val="single" w:sz="8" w:color="C7C8CA"/>
            </w:tcBorders>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3.16</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CRA Team Meetings: Start-Up Period &amp;</w:t>
            </w: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meeting</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3</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$1,506.00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$4,518</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Phase 1b Dose Escalation</w:t>
            </w:r>
          </w:p>
        </w:tc>
        <w:tc>
          <w:tcPr>
            <w:tcW w:w="1840" w:type="dxa"/>
            <w:vAlign w:val="bottom"/>
            <w:tcBorders>
              <w:right w:val="single" w:sz="8" w:color="C7C8CA"/>
            </w:tcBorders>
            <w:vMerge w:val="continue"/>
          </w:tcPr>
          <w:p>
            <w:pPr>
              <w:spacing w:after="0"/>
              <w:rPr>
                <w:sz w:val="10"/>
                <w:szCs w:val="10"/>
                <w:color w:val="auto"/>
              </w:rPr>
            </w:pP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vMerge w:val="continue"/>
          </w:tcPr>
          <w:p>
            <w:pPr>
              <w:spacing w:after="0"/>
              <w:rPr>
                <w:sz w:val="10"/>
                <w:szCs w:val="10"/>
                <w:color w:val="auto"/>
              </w:rPr>
            </w:pPr>
          </w:p>
        </w:tc>
        <w:tc>
          <w:tcPr>
            <w:tcW w:w="1840" w:type="dxa"/>
            <w:vAlign w:val="bottom"/>
            <w:tcBorders>
              <w:bottom w:val="single" w:sz="8" w:color="C7C8CA"/>
              <w:right w:val="single" w:sz="8" w:color="C7C8CA"/>
            </w:tcBorders>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060" w:type="dxa"/>
            <w:vAlign w:val="bottom"/>
            <w:tcBorders>
              <w:left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3.23</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Initial Team Member Training</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training</w:t>
            </w:r>
          </w:p>
        </w:tc>
        <w:tc>
          <w:tcPr>
            <w:tcW w:w="100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w:t>
            </w:r>
          </w:p>
        </w:tc>
        <w:tc>
          <w:tcPr>
            <w:tcW w:w="134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$18,184.00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$18,184</w:t>
            </w:r>
          </w:p>
        </w:tc>
        <w:tc>
          <w:tcPr>
            <w:tcW w:w="0" w:type="dxa"/>
            <w:vAlign w:val="bottom"/>
          </w:tcPr>
          <w:p>
            <w:pPr>
              <w:spacing w:after="0"/>
              <w:rPr>
                <w:sz w:val="1"/>
                <w:szCs w:val="1"/>
                <w:color w:val="auto"/>
              </w:rPr>
            </w:pPr>
          </w:p>
        </w:tc>
      </w:tr>
      <w:tr>
        <w:trPr>
          <w:trHeight w:val="225"/>
        </w:trPr>
        <w:tc>
          <w:tcPr>
            <w:tcW w:w="1060" w:type="dxa"/>
            <w:vAlign w:val="bottom"/>
            <w:tcBorders>
              <w:left w:val="single" w:sz="8" w:color="C7C8CA"/>
              <w:right w:val="single" w:sz="8" w:color="C7C8CA"/>
            </w:tcBorders>
            <w:vMerge w:val="restart"/>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4</w:t>
            </w:r>
          </w:p>
        </w:tc>
        <w:tc>
          <w:tcPr>
            <w:tcW w:w="4660" w:type="dxa"/>
            <w:vAlign w:val="bottom"/>
            <w:tcBorders>
              <w:right w:val="single" w:sz="8" w:color="C7C8CA"/>
            </w:tcBorders>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CLINICAL OPERATIONS &amp;</w:t>
            </w:r>
          </w:p>
        </w:tc>
        <w:tc>
          <w:tcPr>
            <w:tcW w:w="1840" w:type="dxa"/>
            <w:vAlign w:val="bottom"/>
            <w:tcBorders>
              <w:right w:val="single" w:sz="8" w:color="C7C8CA"/>
            </w:tcBorders>
            <w:shd w:val="clear" w:color="auto" w:fill="15489E"/>
          </w:tcPr>
          <w:p>
            <w:pPr>
              <w:spacing w:after="0"/>
              <w:rPr>
                <w:sz w:val="19"/>
                <w:szCs w:val="19"/>
                <w:color w:val="auto"/>
              </w:rPr>
            </w:pPr>
          </w:p>
        </w:tc>
        <w:tc>
          <w:tcPr>
            <w:tcW w:w="1000" w:type="dxa"/>
            <w:vAlign w:val="bottom"/>
            <w:tcBorders>
              <w:right w:val="single" w:sz="8" w:color="C7C8CA"/>
            </w:tcBorders>
            <w:shd w:val="clear" w:color="auto" w:fill="15489E"/>
          </w:tcPr>
          <w:p>
            <w:pPr>
              <w:spacing w:after="0"/>
              <w:rPr>
                <w:sz w:val="19"/>
                <w:szCs w:val="19"/>
                <w:color w:val="auto"/>
              </w:rPr>
            </w:pPr>
          </w:p>
        </w:tc>
        <w:tc>
          <w:tcPr>
            <w:tcW w:w="1340" w:type="dxa"/>
            <w:vAlign w:val="bottom"/>
            <w:tcBorders>
              <w:right w:val="single" w:sz="8" w:color="C7C8CA"/>
            </w:tcBorders>
            <w:shd w:val="clear" w:color="auto" w:fill="15489E"/>
          </w:tcPr>
          <w:p>
            <w:pPr>
              <w:spacing w:after="0"/>
              <w:rPr>
                <w:sz w:val="19"/>
                <w:szCs w:val="19"/>
                <w:color w:val="auto"/>
              </w:rPr>
            </w:pPr>
          </w:p>
        </w:tc>
        <w:tc>
          <w:tcPr>
            <w:tcW w:w="1340" w:type="dxa"/>
            <w:vAlign w:val="bottom"/>
            <w:vMerge w:val="restart"/>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$46,745</w:t>
            </w:r>
          </w:p>
        </w:tc>
        <w:tc>
          <w:tcPr>
            <w:tcW w:w="0" w:type="dxa"/>
            <w:vAlign w:val="bottom"/>
          </w:tcPr>
          <w:p>
            <w:pPr>
              <w:spacing w:after="0"/>
              <w:rPr>
                <w:sz w:val="1"/>
                <w:szCs w:val="1"/>
                <w:color w:val="auto"/>
              </w:rPr>
            </w:pPr>
          </w:p>
        </w:tc>
      </w:tr>
      <w:tr>
        <w:trPr>
          <w:trHeight w:val="130"/>
        </w:trPr>
        <w:tc>
          <w:tcPr>
            <w:tcW w:w="1060" w:type="dxa"/>
            <w:vAlign w:val="bottom"/>
            <w:tcBorders>
              <w:left w:val="single" w:sz="8" w:color="C7C8CA"/>
              <w:right w:val="single" w:sz="8" w:color="C7C8CA"/>
            </w:tcBorders>
            <w:vMerge w:val="continue"/>
            <w:shd w:val="clear" w:color="auto" w:fill="15489E"/>
          </w:tcPr>
          <w:p>
            <w:pPr>
              <w:spacing w:after="0"/>
              <w:rPr>
                <w:sz w:val="11"/>
                <w:szCs w:val="11"/>
                <w:color w:val="auto"/>
              </w:rPr>
            </w:pPr>
          </w:p>
        </w:tc>
        <w:tc>
          <w:tcPr>
            <w:tcW w:w="4660" w:type="dxa"/>
            <w:vAlign w:val="bottom"/>
            <w:tcBorders>
              <w:right w:val="single" w:sz="8" w:color="C7C8CA"/>
            </w:tcBorders>
            <w:vMerge w:val="restart"/>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MONITORING</w:t>
            </w:r>
          </w:p>
        </w:tc>
        <w:tc>
          <w:tcPr>
            <w:tcW w:w="1840" w:type="dxa"/>
            <w:vAlign w:val="bottom"/>
            <w:tcBorders>
              <w:right w:val="single" w:sz="8" w:color="C7C8CA"/>
            </w:tcBorders>
            <w:shd w:val="clear" w:color="auto" w:fill="15489E"/>
          </w:tcPr>
          <w:p>
            <w:pPr>
              <w:spacing w:after="0"/>
              <w:rPr>
                <w:sz w:val="11"/>
                <w:szCs w:val="11"/>
                <w:color w:val="auto"/>
              </w:rPr>
            </w:pPr>
          </w:p>
        </w:tc>
        <w:tc>
          <w:tcPr>
            <w:tcW w:w="1000" w:type="dxa"/>
            <w:vAlign w:val="bottom"/>
            <w:tcBorders>
              <w:right w:val="single" w:sz="8" w:color="C7C8CA"/>
            </w:tcBorders>
            <w:shd w:val="clear" w:color="auto" w:fill="15489E"/>
          </w:tcPr>
          <w:p>
            <w:pPr>
              <w:spacing w:after="0"/>
              <w:rPr>
                <w:sz w:val="11"/>
                <w:szCs w:val="11"/>
                <w:color w:val="auto"/>
              </w:rPr>
            </w:pPr>
          </w:p>
        </w:tc>
        <w:tc>
          <w:tcPr>
            <w:tcW w:w="1340" w:type="dxa"/>
            <w:vAlign w:val="bottom"/>
            <w:tcBorders>
              <w:right w:val="single" w:sz="8" w:color="C7C8CA"/>
            </w:tcBorders>
            <w:shd w:val="clear" w:color="auto" w:fill="15489E"/>
          </w:tcPr>
          <w:p>
            <w:pPr>
              <w:spacing w:after="0"/>
              <w:rPr>
                <w:sz w:val="11"/>
                <w:szCs w:val="11"/>
                <w:color w:val="auto"/>
              </w:rPr>
            </w:pPr>
          </w:p>
        </w:tc>
        <w:tc>
          <w:tcPr>
            <w:tcW w:w="1340" w:type="dxa"/>
            <w:vAlign w:val="bottom"/>
            <w:vMerge w:val="continue"/>
            <w:shd w:val="clear" w:color="auto" w:fill="15489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shd w:val="clear" w:color="auto" w:fill="15489E"/>
          </w:tcPr>
          <w:p>
            <w:pPr>
              <w:spacing w:after="0"/>
              <w:rPr>
                <w:sz w:val="10"/>
                <w:szCs w:val="10"/>
                <w:color w:val="auto"/>
              </w:rPr>
            </w:pPr>
          </w:p>
        </w:tc>
        <w:tc>
          <w:tcPr>
            <w:tcW w:w="4660" w:type="dxa"/>
            <w:vAlign w:val="bottom"/>
            <w:tcBorders>
              <w:bottom w:val="single" w:sz="8" w:color="C7C8CA"/>
              <w:right w:val="single" w:sz="8" w:color="C7C8CA"/>
            </w:tcBorders>
            <w:vMerge w:val="continue"/>
            <w:shd w:val="clear" w:color="auto" w:fill="15489E"/>
          </w:tcPr>
          <w:p>
            <w:pPr>
              <w:spacing w:after="0"/>
              <w:rPr>
                <w:sz w:val="10"/>
                <w:szCs w:val="10"/>
                <w:color w:val="auto"/>
              </w:rPr>
            </w:pPr>
          </w:p>
        </w:tc>
        <w:tc>
          <w:tcPr>
            <w:tcW w:w="1840" w:type="dxa"/>
            <w:vAlign w:val="bottom"/>
            <w:tcBorders>
              <w:bottom w:val="single" w:sz="8" w:color="C7C8CA"/>
              <w:right w:val="single" w:sz="8" w:color="C7C8CA"/>
            </w:tcBorders>
            <w:shd w:val="clear" w:color="auto" w:fill="15489E"/>
          </w:tcPr>
          <w:p>
            <w:pPr>
              <w:spacing w:after="0"/>
              <w:rPr>
                <w:sz w:val="10"/>
                <w:szCs w:val="10"/>
                <w:color w:val="auto"/>
              </w:rPr>
            </w:pPr>
          </w:p>
        </w:tc>
        <w:tc>
          <w:tcPr>
            <w:tcW w:w="1000" w:type="dxa"/>
            <w:vAlign w:val="bottom"/>
            <w:tcBorders>
              <w:bottom w:val="single" w:sz="8" w:color="C7C8CA"/>
              <w:right w:val="single" w:sz="8" w:color="C7C8CA"/>
            </w:tcBorders>
            <w:shd w:val="clear" w:color="auto" w:fill="15489E"/>
          </w:tcPr>
          <w:p>
            <w:pPr>
              <w:spacing w:after="0"/>
              <w:rPr>
                <w:sz w:val="10"/>
                <w:szCs w:val="10"/>
                <w:color w:val="auto"/>
              </w:rPr>
            </w:pPr>
          </w:p>
        </w:tc>
        <w:tc>
          <w:tcPr>
            <w:tcW w:w="1340" w:type="dxa"/>
            <w:vAlign w:val="bottom"/>
            <w:tcBorders>
              <w:bottom w:val="single" w:sz="8" w:color="C7C8CA"/>
              <w:right w:val="single" w:sz="8" w:color="C7C8CA"/>
            </w:tcBorders>
            <w:shd w:val="clear" w:color="auto" w:fill="15489E"/>
          </w:tcPr>
          <w:p>
            <w:pPr>
              <w:spacing w:after="0"/>
              <w:rPr>
                <w:sz w:val="10"/>
                <w:szCs w:val="10"/>
                <w:color w:val="auto"/>
              </w:rPr>
            </w:pPr>
          </w:p>
        </w:tc>
        <w:tc>
          <w:tcPr>
            <w:tcW w:w="1340" w:type="dxa"/>
            <w:vAlign w:val="bottom"/>
            <w:tcBorders>
              <w:bottom w:val="single" w:sz="8" w:color="C7C8CA"/>
            </w:tcBorders>
            <w:shd w:val="clear" w:color="auto" w:fill="15489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4.02</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Clinical Team Lead: Start-Up Period Period</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month</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8"/>
              </w:rPr>
              <w:t>$11,844.00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$35,532</w:t>
            </w:r>
          </w:p>
        </w:tc>
        <w:tc>
          <w:tcPr>
            <w:tcW w:w="0" w:type="dxa"/>
            <w:vAlign w:val="bottom"/>
          </w:tcPr>
          <w:p>
            <w:pPr>
              <w:spacing w:after="0"/>
              <w:rPr>
                <w:sz w:val="1"/>
                <w:szCs w:val="1"/>
                <w:color w:val="auto"/>
              </w:rPr>
            </w:pPr>
          </w:p>
        </w:tc>
      </w:tr>
      <w:tr>
        <w:trPr>
          <w:trHeight w:val="236"/>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4.11</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Risk Based Monitoring Plan Development</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version</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$1,605.00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$1,605</w:t>
            </w:r>
          </w:p>
        </w:tc>
        <w:tc>
          <w:tcPr>
            <w:tcW w:w="0" w:type="dxa"/>
            <w:vAlign w:val="bottom"/>
          </w:tcPr>
          <w:p>
            <w:pPr>
              <w:spacing w:after="0"/>
              <w:rPr>
                <w:sz w:val="1"/>
                <w:szCs w:val="1"/>
                <w:color w:val="auto"/>
              </w:rPr>
            </w:pPr>
          </w:p>
        </w:tc>
      </w:tr>
      <w:tr>
        <w:trPr>
          <w:trHeight w:val="237"/>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4.20</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Trial Portal - Set Up</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study</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$5,400.00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$5,400</w:t>
            </w:r>
          </w:p>
        </w:tc>
        <w:tc>
          <w:tcPr>
            <w:tcW w:w="0" w:type="dxa"/>
            <w:vAlign w:val="bottom"/>
          </w:tcPr>
          <w:p>
            <w:pPr>
              <w:spacing w:after="0"/>
              <w:rPr>
                <w:sz w:val="1"/>
                <w:szCs w:val="1"/>
                <w:color w:val="auto"/>
              </w:rPr>
            </w:pPr>
          </w:p>
        </w:tc>
      </w:tr>
      <w:tr>
        <w:trPr>
          <w:trHeight w:val="236"/>
        </w:trPr>
        <w:tc>
          <w:tcPr>
            <w:tcW w:w="1060" w:type="dxa"/>
            <w:vAlign w:val="bottom"/>
            <w:tcBorders>
              <w:left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4.25</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Site Evaluation Visits - Phone</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visit</w:t>
            </w:r>
          </w:p>
        </w:tc>
        <w:tc>
          <w:tcPr>
            <w:tcW w:w="100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4</w:t>
            </w:r>
          </w:p>
        </w:tc>
        <w:tc>
          <w:tcPr>
            <w:tcW w:w="134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$1,052.00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$4,208</w:t>
            </w:r>
          </w:p>
        </w:tc>
        <w:tc>
          <w:tcPr>
            <w:tcW w:w="0" w:type="dxa"/>
            <w:vAlign w:val="bottom"/>
          </w:tcPr>
          <w:p>
            <w:pPr>
              <w:spacing w:after="0"/>
              <w:rPr>
                <w:sz w:val="1"/>
                <w:szCs w:val="1"/>
                <w:color w:val="auto"/>
              </w:rPr>
            </w:pPr>
          </w:p>
        </w:tc>
      </w:tr>
      <w:tr>
        <w:trPr>
          <w:trHeight w:val="225"/>
        </w:trPr>
        <w:tc>
          <w:tcPr>
            <w:tcW w:w="1060" w:type="dxa"/>
            <w:vAlign w:val="bottom"/>
            <w:tcBorders>
              <w:left w:val="single" w:sz="8" w:color="C7C8CA"/>
              <w:right w:val="single" w:sz="8" w:color="C7C8CA"/>
            </w:tcBorders>
            <w:vMerge w:val="restart"/>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5</w:t>
            </w:r>
          </w:p>
        </w:tc>
        <w:tc>
          <w:tcPr>
            <w:tcW w:w="4660" w:type="dxa"/>
            <w:vAlign w:val="bottom"/>
            <w:tcBorders>
              <w:right w:val="single" w:sz="8" w:color="C7C8CA"/>
            </w:tcBorders>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DATA MANAGEMENT &amp;</w:t>
            </w:r>
          </w:p>
        </w:tc>
        <w:tc>
          <w:tcPr>
            <w:tcW w:w="1840" w:type="dxa"/>
            <w:vAlign w:val="bottom"/>
            <w:tcBorders>
              <w:right w:val="single" w:sz="8" w:color="C7C8CA"/>
            </w:tcBorders>
            <w:shd w:val="clear" w:color="auto" w:fill="15489E"/>
          </w:tcPr>
          <w:p>
            <w:pPr>
              <w:spacing w:after="0"/>
              <w:rPr>
                <w:sz w:val="19"/>
                <w:szCs w:val="19"/>
                <w:color w:val="auto"/>
              </w:rPr>
            </w:pPr>
          </w:p>
        </w:tc>
        <w:tc>
          <w:tcPr>
            <w:tcW w:w="1000" w:type="dxa"/>
            <w:vAlign w:val="bottom"/>
            <w:tcBorders>
              <w:right w:val="single" w:sz="8" w:color="C7C8CA"/>
            </w:tcBorders>
            <w:shd w:val="clear" w:color="auto" w:fill="15489E"/>
          </w:tcPr>
          <w:p>
            <w:pPr>
              <w:spacing w:after="0"/>
              <w:rPr>
                <w:sz w:val="19"/>
                <w:szCs w:val="19"/>
                <w:color w:val="auto"/>
              </w:rPr>
            </w:pPr>
          </w:p>
        </w:tc>
        <w:tc>
          <w:tcPr>
            <w:tcW w:w="1340" w:type="dxa"/>
            <w:vAlign w:val="bottom"/>
            <w:tcBorders>
              <w:right w:val="single" w:sz="8" w:color="C7C8CA"/>
            </w:tcBorders>
            <w:shd w:val="clear" w:color="auto" w:fill="15489E"/>
          </w:tcPr>
          <w:p>
            <w:pPr>
              <w:spacing w:after="0"/>
              <w:rPr>
                <w:sz w:val="19"/>
                <w:szCs w:val="19"/>
                <w:color w:val="auto"/>
              </w:rPr>
            </w:pPr>
          </w:p>
        </w:tc>
        <w:tc>
          <w:tcPr>
            <w:tcW w:w="1340" w:type="dxa"/>
            <w:vAlign w:val="bottom"/>
            <w:vMerge w:val="restart"/>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$310,830</w:t>
            </w:r>
          </w:p>
        </w:tc>
        <w:tc>
          <w:tcPr>
            <w:tcW w:w="0" w:type="dxa"/>
            <w:vAlign w:val="bottom"/>
          </w:tcPr>
          <w:p>
            <w:pPr>
              <w:spacing w:after="0"/>
              <w:rPr>
                <w:sz w:val="1"/>
                <w:szCs w:val="1"/>
                <w:color w:val="auto"/>
              </w:rPr>
            </w:pPr>
          </w:p>
        </w:tc>
      </w:tr>
      <w:tr>
        <w:trPr>
          <w:trHeight w:val="130"/>
        </w:trPr>
        <w:tc>
          <w:tcPr>
            <w:tcW w:w="1060" w:type="dxa"/>
            <w:vAlign w:val="bottom"/>
            <w:tcBorders>
              <w:left w:val="single" w:sz="8" w:color="C7C8CA"/>
              <w:right w:val="single" w:sz="8" w:color="C7C8CA"/>
            </w:tcBorders>
            <w:vMerge w:val="continue"/>
            <w:shd w:val="clear" w:color="auto" w:fill="15489E"/>
          </w:tcPr>
          <w:p>
            <w:pPr>
              <w:spacing w:after="0"/>
              <w:rPr>
                <w:sz w:val="11"/>
                <w:szCs w:val="11"/>
                <w:color w:val="auto"/>
              </w:rPr>
            </w:pPr>
          </w:p>
        </w:tc>
        <w:tc>
          <w:tcPr>
            <w:tcW w:w="4660" w:type="dxa"/>
            <w:vAlign w:val="bottom"/>
            <w:tcBorders>
              <w:right w:val="single" w:sz="8" w:color="C7C8CA"/>
            </w:tcBorders>
            <w:vMerge w:val="restart"/>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BIOMETRICS OVERSIGHT</w:t>
            </w:r>
          </w:p>
        </w:tc>
        <w:tc>
          <w:tcPr>
            <w:tcW w:w="1840" w:type="dxa"/>
            <w:vAlign w:val="bottom"/>
            <w:tcBorders>
              <w:right w:val="single" w:sz="8" w:color="C7C8CA"/>
            </w:tcBorders>
            <w:shd w:val="clear" w:color="auto" w:fill="15489E"/>
          </w:tcPr>
          <w:p>
            <w:pPr>
              <w:spacing w:after="0"/>
              <w:rPr>
                <w:sz w:val="11"/>
                <w:szCs w:val="11"/>
                <w:color w:val="auto"/>
              </w:rPr>
            </w:pPr>
          </w:p>
        </w:tc>
        <w:tc>
          <w:tcPr>
            <w:tcW w:w="1000" w:type="dxa"/>
            <w:vAlign w:val="bottom"/>
            <w:tcBorders>
              <w:right w:val="single" w:sz="8" w:color="C7C8CA"/>
            </w:tcBorders>
            <w:shd w:val="clear" w:color="auto" w:fill="15489E"/>
          </w:tcPr>
          <w:p>
            <w:pPr>
              <w:spacing w:after="0"/>
              <w:rPr>
                <w:sz w:val="11"/>
                <w:szCs w:val="11"/>
                <w:color w:val="auto"/>
              </w:rPr>
            </w:pPr>
          </w:p>
        </w:tc>
        <w:tc>
          <w:tcPr>
            <w:tcW w:w="1340" w:type="dxa"/>
            <w:vAlign w:val="bottom"/>
            <w:tcBorders>
              <w:right w:val="single" w:sz="8" w:color="C7C8CA"/>
            </w:tcBorders>
            <w:shd w:val="clear" w:color="auto" w:fill="15489E"/>
          </w:tcPr>
          <w:p>
            <w:pPr>
              <w:spacing w:after="0"/>
              <w:rPr>
                <w:sz w:val="11"/>
                <w:szCs w:val="11"/>
                <w:color w:val="auto"/>
              </w:rPr>
            </w:pPr>
          </w:p>
        </w:tc>
        <w:tc>
          <w:tcPr>
            <w:tcW w:w="1340" w:type="dxa"/>
            <w:vAlign w:val="bottom"/>
            <w:vMerge w:val="continue"/>
            <w:shd w:val="clear" w:color="auto" w:fill="15489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shd w:val="clear" w:color="auto" w:fill="15489E"/>
          </w:tcPr>
          <w:p>
            <w:pPr>
              <w:spacing w:after="0"/>
              <w:rPr>
                <w:sz w:val="10"/>
                <w:szCs w:val="10"/>
                <w:color w:val="auto"/>
              </w:rPr>
            </w:pPr>
          </w:p>
        </w:tc>
        <w:tc>
          <w:tcPr>
            <w:tcW w:w="4660" w:type="dxa"/>
            <w:vAlign w:val="bottom"/>
            <w:tcBorders>
              <w:bottom w:val="single" w:sz="8" w:color="C7C8CA"/>
              <w:right w:val="single" w:sz="8" w:color="C7C8CA"/>
            </w:tcBorders>
            <w:vMerge w:val="continue"/>
            <w:shd w:val="clear" w:color="auto" w:fill="15489E"/>
          </w:tcPr>
          <w:p>
            <w:pPr>
              <w:spacing w:after="0"/>
              <w:rPr>
                <w:sz w:val="10"/>
                <w:szCs w:val="10"/>
                <w:color w:val="auto"/>
              </w:rPr>
            </w:pPr>
          </w:p>
        </w:tc>
        <w:tc>
          <w:tcPr>
            <w:tcW w:w="1840" w:type="dxa"/>
            <w:vAlign w:val="bottom"/>
            <w:tcBorders>
              <w:bottom w:val="single" w:sz="8" w:color="C7C8CA"/>
              <w:right w:val="single" w:sz="8" w:color="C7C8CA"/>
            </w:tcBorders>
            <w:shd w:val="clear" w:color="auto" w:fill="15489E"/>
          </w:tcPr>
          <w:p>
            <w:pPr>
              <w:spacing w:after="0"/>
              <w:rPr>
                <w:sz w:val="10"/>
                <w:szCs w:val="10"/>
                <w:color w:val="auto"/>
              </w:rPr>
            </w:pPr>
          </w:p>
        </w:tc>
        <w:tc>
          <w:tcPr>
            <w:tcW w:w="1000" w:type="dxa"/>
            <w:vAlign w:val="bottom"/>
            <w:tcBorders>
              <w:bottom w:val="single" w:sz="8" w:color="C7C8CA"/>
              <w:right w:val="single" w:sz="8" w:color="C7C8CA"/>
            </w:tcBorders>
            <w:shd w:val="clear" w:color="auto" w:fill="15489E"/>
          </w:tcPr>
          <w:p>
            <w:pPr>
              <w:spacing w:after="0"/>
              <w:rPr>
                <w:sz w:val="10"/>
                <w:szCs w:val="10"/>
                <w:color w:val="auto"/>
              </w:rPr>
            </w:pPr>
          </w:p>
        </w:tc>
        <w:tc>
          <w:tcPr>
            <w:tcW w:w="1340" w:type="dxa"/>
            <w:vAlign w:val="bottom"/>
            <w:tcBorders>
              <w:bottom w:val="single" w:sz="8" w:color="C7C8CA"/>
              <w:right w:val="single" w:sz="8" w:color="C7C8CA"/>
            </w:tcBorders>
            <w:shd w:val="clear" w:color="auto" w:fill="15489E"/>
          </w:tcPr>
          <w:p>
            <w:pPr>
              <w:spacing w:after="0"/>
              <w:rPr>
                <w:sz w:val="10"/>
                <w:szCs w:val="10"/>
                <w:color w:val="auto"/>
              </w:rPr>
            </w:pPr>
          </w:p>
        </w:tc>
        <w:tc>
          <w:tcPr>
            <w:tcW w:w="1340" w:type="dxa"/>
            <w:vAlign w:val="bottom"/>
            <w:tcBorders>
              <w:bottom w:val="single" w:sz="8" w:color="C7C8CA"/>
            </w:tcBorders>
            <w:shd w:val="clear" w:color="auto" w:fill="15489E"/>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5.01</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Develop and Review Data Collection Forms</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development</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$347.75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$17,388</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(mock CRF)</w:t>
            </w: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form</w:t>
            </w: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vMerge w:val="continue"/>
          </w:tcPr>
          <w:p>
            <w:pPr>
              <w:spacing w:after="0"/>
              <w:rPr>
                <w:sz w:val="10"/>
                <w:szCs w:val="10"/>
                <w:color w:val="auto"/>
              </w:rPr>
            </w:pPr>
          </w:p>
        </w:tc>
        <w:tc>
          <w:tcPr>
            <w:tcW w:w="1840" w:type="dxa"/>
            <w:vAlign w:val="bottom"/>
            <w:tcBorders>
              <w:bottom w:val="single" w:sz="8" w:color="C7C8CA"/>
              <w:right w:val="single" w:sz="8" w:color="C7C8CA"/>
            </w:tcBorders>
            <w:vMerge w:val="continue"/>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5.02</w:t>
            </w:r>
          </w:p>
        </w:tc>
        <w:tc>
          <w:tcPr>
            <w:tcW w:w="466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Develop and Review Data Validation</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edit check /</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6"/>
              </w:rPr>
              <w:t>600</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$60.25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$36,150</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Specifications</w:t>
            </w: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manual listing</w:t>
            </w: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vMerge w:val="continue"/>
          </w:tcPr>
          <w:p>
            <w:pPr>
              <w:spacing w:after="0"/>
              <w:rPr>
                <w:sz w:val="10"/>
                <w:szCs w:val="10"/>
                <w:color w:val="auto"/>
              </w:rPr>
            </w:pPr>
          </w:p>
        </w:tc>
        <w:tc>
          <w:tcPr>
            <w:tcW w:w="1840" w:type="dxa"/>
            <w:vAlign w:val="bottom"/>
            <w:tcBorders>
              <w:bottom w:val="single" w:sz="8" w:color="C7C8CA"/>
              <w:right w:val="single" w:sz="8" w:color="C7C8CA"/>
            </w:tcBorders>
            <w:vMerge w:val="continue"/>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5.03</w:t>
            </w: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Develop and QC EDC Database (form)</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development</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$345.00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$17,250</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continue"/>
          </w:tcPr>
          <w:p>
            <w:pPr>
              <w:spacing w:after="0"/>
              <w:rPr>
                <w:sz w:val="10"/>
                <w:szCs w:val="10"/>
                <w:color w:val="auto"/>
              </w:rPr>
            </w:pP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form</w:t>
            </w: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tcPr>
          <w:p>
            <w:pPr>
              <w:spacing w:after="0"/>
              <w:rPr>
                <w:sz w:val="10"/>
                <w:szCs w:val="10"/>
                <w:color w:val="auto"/>
              </w:rPr>
            </w:pPr>
          </w:p>
        </w:tc>
        <w:tc>
          <w:tcPr>
            <w:tcW w:w="1840" w:type="dxa"/>
            <w:vAlign w:val="bottom"/>
            <w:tcBorders>
              <w:bottom w:val="single" w:sz="8" w:color="C7C8CA"/>
              <w:right w:val="single" w:sz="8" w:color="C7C8CA"/>
            </w:tcBorders>
            <w:vMerge w:val="continue"/>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5.04</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Program and Test Edit Checks</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edit check</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6"/>
              </w:rPr>
              <w:t>600</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$57.50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$34,500</w:t>
            </w:r>
          </w:p>
        </w:tc>
        <w:tc>
          <w:tcPr>
            <w:tcW w:w="0" w:type="dxa"/>
            <w:vAlign w:val="bottom"/>
          </w:tcPr>
          <w:p>
            <w:pPr>
              <w:spacing w:after="0"/>
              <w:rPr>
                <w:sz w:val="1"/>
                <w:szCs w:val="1"/>
                <w:color w:val="auto"/>
              </w:rPr>
            </w:pPr>
          </w:p>
        </w:tc>
      </w:tr>
      <w:tr>
        <w:trPr>
          <w:trHeight w:val="209"/>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5.05</w:t>
            </w: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Program and Test Custom Functions</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per Custom</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45</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$862.50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$38,813</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continue"/>
          </w:tcPr>
          <w:p>
            <w:pPr>
              <w:spacing w:after="0"/>
              <w:rPr>
                <w:sz w:val="10"/>
                <w:szCs w:val="10"/>
                <w:color w:val="auto"/>
              </w:rPr>
            </w:pP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Function</w:t>
            </w: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tcPr>
          <w:p>
            <w:pPr>
              <w:spacing w:after="0"/>
              <w:rPr>
                <w:sz w:val="10"/>
                <w:szCs w:val="10"/>
                <w:color w:val="auto"/>
              </w:rPr>
            </w:pPr>
          </w:p>
        </w:tc>
        <w:tc>
          <w:tcPr>
            <w:tcW w:w="1840" w:type="dxa"/>
            <w:vAlign w:val="bottom"/>
            <w:tcBorders>
              <w:bottom w:val="single" w:sz="8" w:color="C7C8CA"/>
              <w:right w:val="single" w:sz="8" w:color="C7C8CA"/>
            </w:tcBorders>
            <w:vMerge w:val="continue"/>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06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5.06</w:t>
            </w:r>
          </w:p>
        </w:tc>
        <w:tc>
          <w:tcPr>
            <w:tcW w:w="466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Program and Test Manual Listings</w:t>
            </w:r>
          </w:p>
        </w:tc>
        <w:tc>
          <w:tcPr>
            <w:tcW w:w="184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manual</w:t>
            </w:r>
          </w:p>
        </w:tc>
        <w:tc>
          <w:tcPr>
            <w:tcW w:w="100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25</w:t>
            </w:r>
          </w:p>
        </w:tc>
        <w:tc>
          <w:tcPr>
            <w:tcW w:w="134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$4,177.00</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7"/>
              </w:rPr>
              <w:t>$104,425</w:t>
            </w:r>
          </w:p>
        </w:tc>
        <w:tc>
          <w:tcPr>
            <w:tcW w:w="0" w:type="dxa"/>
            <w:vAlign w:val="bottom"/>
          </w:tcPr>
          <w:p>
            <w:pPr>
              <w:spacing w:after="0"/>
              <w:rPr>
                <w:sz w:val="1"/>
                <w:szCs w:val="1"/>
                <w:color w:val="auto"/>
              </w:rPr>
            </w:pPr>
          </w:p>
        </w:tc>
      </w:tr>
      <w:tr>
        <w:trPr>
          <w:trHeight w:val="126"/>
        </w:trPr>
        <w:tc>
          <w:tcPr>
            <w:tcW w:w="1060" w:type="dxa"/>
            <w:vAlign w:val="bottom"/>
            <w:tcBorders>
              <w:left w:val="single" w:sz="8" w:color="C7C8CA"/>
              <w:right w:val="single" w:sz="8" w:color="C7C8CA"/>
            </w:tcBorders>
            <w:vMerge w:val="continue"/>
          </w:tcPr>
          <w:p>
            <w:pPr>
              <w:spacing w:after="0"/>
              <w:rPr>
                <w:sz w:val="10"/>
                <w:szCs w:val="10"/>
                <w:color w:val="auto"/>
              </w:rPr>
            </w:pPr>
          </w:p>
        </w:tc>
        <w:tc>
          <w:tcPr>
            <w:tcW w:w="4660" w:type="dxa"/>
            <w:vAlign w:val="bottom"/>
            <w:tcBorders>
              <w:right w:val="single" w:sz="8" w:color="C7C8CA"/>
            </w:tcBorders>
            <w:vMerge w:val="continue"/>
          </w:tcPr>
          <w:p>
            <w:pPr>
              <w:spacing w:after="0"/>
              <w:rPr>
                <w:sz w:val="10"/>
                <w:szCs w:val="10"/>
                <w:color w:val="auto"/>
              </w:rPr>
            </w:pPr>
          </w:p>
        </w:tc>
        <w:tc>
          <w:tcPr>
            <w:tcW w:w="184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listing</w:t>
            </w:r>
          </w:p>
        </w:tc>
        <w:tc>
          <w:tcPr>
            <w:tcW w:w="1000" w:type="dxa"/>
            <w:vAlign w:val="bottom"/>
            <w:tcBorders>
              <w:right w:val="single" w:sz="8" w:color="C7C8CA"/>
            </w:tcBorders>
            <w:vMerge w:val="continue"/>
          </w:tcPr>
          <w:p>
            <w:pPr>
              <w:spacing w:after="0"/>
              <w:rPr>
                <w:sz w:val="10"/>
                <w:szCs w:val="10"/>
                <w:color w:val="auto"/>
              </w:rPr>
            </w:pPr>
          </w:p>
        </w:tc>
        <w:tc>
          <w:tcPr>
            <w:tcW w:w="1340" w:type="dxa"/>
            <w:vAlign w:val="bottom"/>
            <w:tcBorders>
              <w:right w:val="single" w:sz="8" w:color="C7C8CA"/>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60" w:type="dxa"/>
            <w:vAlign w:val="bottom"/>
            <w:tcBorders>
              <w:left w:val="single" w:sz="8" w:color="C7C8CA"/>
              <w:bottom w:val="single" w:sz="8" w:color="C7C8CA"/>
              <w:right w:val="single" w:sz="8" w:color="C7C8CA"/>
            </w:tcBorders>
          </w:tcPr>
          <w:p>
            <w:pPr>
              <w:spacing w:after="0"/>
              <w:rPr>
                <w:sz w:val="10"/>
                <w:szCs w:val="10"/>
                <w:color w:val="auto"/>
              </w:rPr>
            </w:pPr>
          </w:p>
        </w:tc>
        <w:tc>
          <w:tcPr>
            <w:tcW w:w="4660" w:type="dxa"/>
            <w:vAlign w:val="bottom"/>
            <w:tcBorders>
              <w:bottom w:val="single" w:sz="8" w:color="C7C8CA"/>
              <w:right w:val="single" w:sz="8" w:color="C7C8CA"/>
            </w:tcBorders>
          </w:tcPr>
          <w:p>
            <w:pPr>
              <w:spacing w:after="0"/>
              <w:rPr>
                <w:sz w:val="10"/>
                <w:szCs w:val="10"/>
                <w:color w:val="auto"/>
              </w:rPr>
            </w:pPr>
          </w:p>
        </w:tc>
        <w:tc>
          <w:tcPr>
            <w:tcW w:w="1840" w:type="dxa"/>
            <w:vAlign w:val="bottom"/>
            <w:tcBorders>
              <w:bottom w:val="single" w:sz="8" w:color="C7C8CA"/>
              <w:right w:val="single" w:sz="8" w:color="C7C8CA"/>
            </w:tcBorders>
            <w:vMerge w:val="continue"/>
          </w:tcPr>
          <w:p>
            <w:pPr>
              <w:spacing w:after="0"/>
              <w:rPr>
                <w:sz w:val="10"/>
                <w:szCs w:val="10"/>
                <w:color w:val="auto"/>
              </w:rPr>
            </w:pPr>
          </w:p>
        </w:tc>
        <w:tc>
          <w:tcPr>
            <w:tcW w:w="100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right w:val="single" w:sz="8" w:color="C7C8CA"/>
            </w:tcBorders>
          </w:tcPr>
          <w:p>
            <w:pPr>
              <w:spacing w:after="0"/>
              <w:rPr>
                <w:sz w:val="10"/>
                <w:szCs w:val="10"/>
                <w:color w:val="auto"/>
              </w:rPr>
            </w:pPr>
          </w:p>
        </w:tc>
        <w:tc>
          <w:tcPr>
            <w:tcW w:w="134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06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5.07</w:t>
            </w:r>
          </w:p>
        </w:tc>
        <w:tc>
          <w:tcPr>
            <w:tcW w:w="466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Program and Test Custom Reports</w:t>
            </w:r>
          </w:p>
        </w:tc>
        <w:tc>
          <w:tcPr>
            <w:tcW w:w="184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Report</w:t>
            </w:r>
          </w:p>
        </w:tc>
        <w:tc>
          <w:tcPr>
            <w:tcW w:w="100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w:t>
            </w:r>
          </w:p>
        </w:tc>
        <w:tc>
          <w:tcPr>
            <w:tcW w:w="134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$10,563.00</w:t>
            </w:r>
          </w:p>
        </w:tc>
        <w:tc>
          <w:tcPr>
            <w:tcW w:w="134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$21,126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4" w:name="page125"/>
    <w:bookmarkEnd w:id="124"/>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7310755</wp:posOffset>
            </wp:positionH>
            <wp:positionV relativeFrom="page">
              <wp:posOffset>1036320</wp:posOffset>
            </wp:positionV>
            <wp:extent cx="42545" cy="44227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42545" cy="44227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4"/>
        </w:trPr>
        <w:tc>
          <w:tcPr>
            <w:tcW w:w="1140" w:type="dxa"/>
            <w:vAlign w:val="bottom"/>
            <w:tcBorders>
              <w:top w:val="single" w:sz="8" w:color="C7C8CA"/>
              <w:left w:val="single" w:sz="8" w:color="C7C8CA"/>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Unit</w:t>
            </w:r>
          </w:p>
        </w:tc>
        <w:tc>
          <w:tcPr>
            <w:tcW w:w="4640" w:type="dxa"/>
            <w:vAlign w:val="bottom"/>
            <w:tcBorders>
              <w:top w:val="single" w:sz="8" w:color="231F20"/>
              <w:right w:val="single" w:sz="8" w:color="C7C8CA"/>
            </w:tcBorders>
            <w:shd w:val="clear" w:color="auto" w:fill="231F20"/>
          </w:tcPr>
          <w:p>
            <w:pPr>
              <w:spacing w:after="0"/>
              <w:rPr>
                <w:sz w:val="19"/>
                <w:szCs w:val="19"/>
                <w:color w:val="auto"/>
              </w:rPr>
            </w:pPr>
          </w:p>
        </w:tc>
        <w:tc>
          <w:tcPr>
            <w:tcW w:w="1520" w:type="dxa"/>
            <w:vAlign w:val="bottom"/>
            <w:tcBorders>
              <w:top w:val="single" w:sz="8" w:color="231F20"/>
              <w:right w:val="single" w:sz="8" w:color="C7C8CA"/>
            </w:tcBorders>
            <w:shd w:val="clear" w:color="auto" w:fill="231F20"/>
          </w:tcPr>
          <w:p>
            <w:pPr>
              <w:spacing w:after="0"/>
              <w:rPr>
                <w:sz w:val="19"/>
                <w:szCs w:val="19"/>
                <w:color w:val="auto"/>
              </w:rPr>
            </w:pPr>
          </w:p>
        </w:tc>
        <w:tc>
          <w:tcPr>
            <w:tcW w:w="980" w:type="dxa"/>
            <w:vAlign w:val="bottom"/>
            <w:tcBorders>
              <w:top w:val="single" w:sz="8" w:color="231F20"/>
              <w:right w:val="single" w:sz="8" w:color="C7C8CA"/>
            </w:tcBorders>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rPr>
              <w:t>SUA #</w:t>
            </w:r>
          </w:p>
        </w:tc>
        <w:tc>
          <w:tcPr>
            <w:tcW w:w="1460" w:type="dxa"/>
            <w:vAlign w:val="bottom"/>
            <w:tcBorders>
              <w:top w:val="single" w:sz="8" w:color="231F20"/>
              <w:right w:val="single" w:sz="8" w:color="C7C8CA"/>
            </w:tcBorders>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SUA</w:t>
            </w:r>
          </w:p>
        </w:tc>
        <w:tc>
          <w:tcPr>
            <w:tcW w:w="1500" w:type="dxa"/>
            <w:vAlign w:val="bottom"/>
            <w:tcBorders>
              <w:top w:val="single" w:sz="8" w:color="231F20"/>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SUA Total</w:t>
            </w:r>
          </w:p>
        </w:tc>
        <w:tc>
          <w:tcPr>
            <w:tcW w:w="0" w:type="dxa"/>
            <w:vAlign w:val="bottom"/>
          </w:tcPr>
          <w:p>
            <w:pPr>
              <w:spacing w:after="0"/>
              <w:rPr>
                <w:sz w:val="1"/>
                <w:szCs w:val="1"/>
                <w:color w:val="auto"/>
              </w:rPr>
            </w:pPr>
          </w:p>
        </w:tc>
      </w:tr>
      <w:tr>
        <w:trPr>
          <w:trHeight w:val="108"/>
        </w:trPr>
        <w:tc>
          <w:tcPr>
            <w:tcW w:w="1140" w:type="dxa"/>
            <w:vAlign w:val="bottom"/>
            <w:tcBorders>
              <w:left w:val="single" w:sz="8" w:color="C7C8CA"/>
              <w:right w:val="single" w:sz="8" w:color="C7C8CA"/>
            </w:tcBorders>
            <w:vMerge w:val="continue"/>
            <w:shd w:val="clear" w:color="auto" w:fill="231F20"/>
          </w:tcPr>
          <w:p>
            <w:pPr>
              <w:spacing w:after="0"/>
              <w:rPr>
                <w:sz w:val="9"/>
                <w:szCs w:val="9"/>
                <w:color w:val="auto"/>
              </w:rPr>
            </w:pPr>
          </w:p>
        </w:tc>
        <w:tc>
          <w:tcPr>
            <w:tcW w:w="4640" w:type="dxa"/>
            <w:vAlign w:val="bottom"/>
            <w:tcBorders>
              <w:right w:val="single" w:sz="8" w:color="C7C8CA"/>
            </w:tcBorders>
            <w:vMerge w:val="restart"/>
            <w:shd w:val="clear" w:color="auto" w:fill="231F20"/>
          </w:tcPr>
          <w:p>
            <w:pPr>
              <w:ind w:left="1880"/>
              <w:spacing w:after="0"/>
              <w:rPr>
                <w:sz w:val="20"/>
                <w:szCs w:val="20"/>
                <w:color w:val="auto"/>
              </w:rPr>
            </w:pPr>
            <w:r>
              <w:rPr>
                <w:rFonts w:ascii="Times New Roman" w:cs="Times New Roman" w:eastAsia="Times New Roman" w:hAnsi="Times New Roman"/>
                <w:sz w:val="18"/>
                <w:szCs w:val="18"/>
                <w:b w:val="1"/>
                <w:bCs w:val="1"/>
                <w:color w:val="FFFFFF"/>
              </w:rPr>
              <w:t>Unit Name</w:t>
            </w:r>
          </w:p>
        </w:tc>
        <w:tc>
          <w:tcPr>
            <w:tcW w:w="1520" w:type="dxa"/>
            <w:vAlign w:val="bottom"/>
            <w:tcBorders>
              <w:right w:val="single" w:sz="8" w:color="C7C8CA"/>
            </w:tcBorders>
            <w:vMerge w:val="restart"/>
            <w:shd w:val="clear" w:color="auto" w:fill="231F20"/>
          </w:tcPr>
          <w:p>
            <w:pPr>
              <w:ind w:left="340"/>
              <w:spacing w:after="0"/>
              <w:rPr>
                <w:sz w:val="20"/>
                <w:szCs w:val="20"/>
                <w:color w:val="auto"/>
              </w:rPr>
            </w:pPr>
            <w:r>
              <w:rPr>
                <w:rFonts w:ascii="Times New Roman" w:cs="Times New Roman" w:eastAsia="Times New Roman" w:hAnsi="Times New Roman"/>
                <w:sz w:val="18"/>
                <w:szCs w:val="18"/>
                <w:b w:val="1"/>
                <w:bCs w:val="1"/>
                <w:color w:val="FFFFFF"/>
              </w:rPr>
              <w:t>Unit Basis</w:t>
            </w:r>
          </w:p>
        </w:tc>
        <w:tc>
          <w:tcPr>
            <w:tcW w:w="980" w:type="dxa"/>
            <w:vAlign w:val="bottom"/>
            <w:tcBorders>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rPr>
              <w:t>of</w:t>
            </w:r>
          </w:p>
        </w:tc>
        <w:tc>
          <w:tcPr>
            <w:tcW w:w="1460" w:type="dxa"/>
            <w:vAlign w:val="bottom"/>
            <w:tcBorders>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Direct</w:t>
            </w:r>
          </w:p>
        </w:tc>
        <w:tc>
          <w:tcPr>
            <w:tcW w:w="1500" w:type="dxa"/>
            <w:vAlign w:val="bottom"/>
            <w:vMerge w:val="continue"/>
            <w:shd w:val="clear" w:color="auto" w:fill="231F2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tcBorders>
              <w:left w:val="single" w:sz="8" w:color="C7C8CA"/>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w:t>
            </w:r>
          </w:p>
        </w:tc>
        <w:tc>
          <w:tcPr>
            <w:tcW w:w="4640" w:type="dxa"/>
            <w:vAlign w:val="bottom"/>
            <w:tcBorders>
              <w:right w:val="single" w:sz="8" w:color="C7C8CA"/>
            </w:tcBorders>
            <w:vMerge w:val="continue"/>
            <w:shd w:val="clear" w:color="auto" w:fill="231F20"/>
          </w:tcPr>
          <w:p>
            <w:pPr>
              <w:spacing w:after="0"/>
              <w:rPr>
                <w:sz w:val="9"/>
                <w:szCs w:val="9"/>
                <w:color w:val="auto"/>
              </w:rPr>
            </w:pPr>
          </w:p>
        </w:tc>
        <w:tc>
          <w:tcPr>
            <w:tcW w:w="1520" w:type="dxa"/>
            <w:vAlign w:val="bottom"/>
            <w:tcBorders>
              <w:right w:val="single" w:sz="8" w:color="C7C8CA"/>
            </w:tcBorders>
            <w:vMerge w:val="continue"/>
            <w:shd w:val="clear" w:color="auto" w:fill="231F20"/>
          </w:tcPr>
          <w:p>
            <w:pPr>
              <w:spacing w:after="0"/>
              <w:rPr>
                <w:sz w:val="9"/>
                <w:szCs w:val="9"/>
                <w:color w:val="auto"/>
              </w:rPr>
            </w:pPr>
          </w:p>
        </w:tc>
        <w:tc>
          <w:tcPr>
            <w:tcW w:w="980" w:type="dxa"/>
            <w:vAlign w:val="bottom"/>
            <w:tcBorders>
              <w:right w:val="single" w:sz="8" w:color="C7C8CA"/>
            </w:tcBorders>
            <w:vMerge w:val="continue"/>
            <w:shd w:val="clear" w:color="auto" w:fill="231F20"/>
          </w:tcPr>
          <w:p>
            <w:pPr>
              <w:spacing w:after="0"/>
              <w:rPr>
                <w:sz w:val="9"/>
                <w:szCs w:val="9"/>
                <w:color w:val="auto"/>
              </w:rPr>
            </w:pPr>
          </w:p>
        </w:tc>
        <w:tc>
          <w:tcPr>
            <w:tcW w:w="1460" w:type="dxa"/>
            <w:vAlign w:val="bottom"/>
            <w:tcBorders>
              <w:right w:val="single" w:sz="8" w:color="C7C8CA"/>
            </w:tcBorders>
            <w:vMerge w:val="continue"/>
            <w:shd w:val="clear" w:color="auto" w:fill="231F20"/>
          </w:tcPr>
          <w:p>
            <w:pPr>
              <w:spacing w:after="0"/>
              <w:rPr>
                <w:sz w:val="9"/>
                <w:szCs w:val="9"/>
                <w:color w:val="auto"/>
              </w:rPr>
            </w:pPr>
          </w:p>
        </w:tc>
        <w:tc>
          <w:tcPr>
            <w:tcW w:w="1500" w:type="dxa"/>
            <w:vAlign w:val="bottom"/>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rPr>
              <w:t>Directs</w:t>
            </w:r>
          </w:p>
        </w:tc>
        <w:tc>
          <w:tcPr>
            <w:tcW w:w="0" w:type="dxa"/>
            <w:vAlign w:val="bottom"/>
          </w:tcPr>
          <w:p>
            <w:pPr>
              <w:spacing w:after="0"/>
              <w:rPr>
                <w:sz w:val="1"/>
                <w:szCs w:val="1"/>
                <w:color w:val="auto"/>
              </w:rPr>
            </w:pPr>
          </w:p>
        </w:tc>
      </w:tr>
      <w:tr>
        <w:trPr>
          <w:trHeight w:val="130"/>
        </w:trPr>
        <w:tc>
          <w:tcPr>
            <w:tcW w:w="1140" w:type="dxa"/>
            <w:vAlign w:val="bottom"/>
            <w:tcBorders>
              <w:left w:val="single" w:sz="8" w:color="C7C8CA"/>
              <w:right w:val="single" w:sz="8" w:color="C7C8CA"/>
            </w:tcBorders>
            <w:vMerge w:val="continue"/>
            <w:shd w:val="clear" w:color="auto" w:fill="231F20"/>
          </w:tcPr>
          <w:p>
            <w:pPr>
              <w:spacing w:after="0"/>
              <w:rPr>
                <w:sz w:val="11"/>
                <w:szCs w:val="11"/>
                <w:color w:val="auto"/>
              </w:rPr>
            </w:pPr>
          </w:p>
        </w:tc>
        <w:tc>
          <w:tcPr>
            <w:tcW w:w="4640" w:type="dxa"/>
            <w:vAlign w:val="bottom"/>
            <w:tcBorders>
              <w:right w:val="single" w:sz="8" w:color="C7C8CA"/>
            </w:tcBorders>
            <w:shd w:val="clear" w:color="auto" w:fill="231F20"/>
          </w:tcPr>
          <w:p>
            <w:pPr>
              <w:spacing w:after="0"/>
              <w:rPr>
                <w:sz w:val="11"/>
                <w:szCs w:val="11"/>
                <w:color w:val="auto"/>
              </w:rPr>
            </w:pPr>
          </w:p>
        </w:tc>
        <w:tc>
          <w:tcPr>
            <w:tcW w:w="1520" w:type="dxa"/>
            <w:vAlign w:val="bottom"/>
            <w:tcBorders>
              <w:right w:val="single" w:sz="8" w:color="C7C8CA"/>
            </w:tcBorders>
            <w:shd w:val="clear" w:color="auto" w:fill="231F20"/>
          </w:tcPr>
          <w:p>
            <w:pPr>
              <w:spacing w:after="0"/>
              <w:rPr>
                <w:sz w:val="11"/>
                <w:szCs w:val="11"/>
                <w:color w:val="auto"/>
              </w:rPr>
            </w:pPr>
          </w:p>
        </w:tc>
        <w:tc>
          <w:tcPr>
            <w:tcW w:w="980" w:type="dxa"/>
            <w:vAlign w:val="bottom"/>
            <w:tcBorders>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Units</w:t>
            </w:r>
          </w:p>
        </w:tc>
        <w:tc>
          <w:tcPr>
            <w:tcW w:w="1460" w:type="dxa"/>
            <w:vAlign w:val="bottom"/>
            <w:tcBorders>
              <w:right w:val="single" w:sz="8" w:color="C7C8CA"/>
            </w:tcBorders>
            <w:vMerge w:val="restart"/>
            <w:shd w:val="clear" w:color="auto" w:fill="231F20"/>
          </w:tcPr>
          <w:p>
            <w:pPr>
              <w:jc w:val="center"/>
              <w:spacing w:after="0"/>
              <w:rPr>
                <w:sz w:val="20"/>
                <w:szCs w:val="20"/>
                <w:color w:val="auto"/>
              </w:rPr>
            </w:pPr>
            <w:r>
              <w:rPr>
                <w:rFonts w:ascii="Times New Roman" w:cs="Times New Roman" w:eastAsia="Times New Roman" w:hAnsi="Times New Roman"/>
                <w:sz w:val="18"/>
                <w:szCs w:val="18"/>
                <w:b w:val="1"/>
                <w:bCs w:val="1"/>
                <w:color w:val="FFFFFF"/>
              </w:rPr>
              <w:t>Unit Cost</w:t>
            </w:r>
          </w:p>
        </w:tc>
        <w:tc>
          <w:tcPr>
            <w:tcW w:w="1500" w:type="dxa"/>
            <w:vAlign w:val="bottom"/>
            <w:vMerge w:val="continue"/>
            <w:shd w:val="clear" w:color="auto" w:fill="231F20"/>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40" w:type="dxa"/>
            <w:vAlign w:val="bottom"/>
            <w:tcBorders>
              <w:left w:val="single" w:sz="8" w:color="C7C8CA"/>
              <w:bottom w:val="single" w:sz="8" w:color="231F20"/>
              <w:right w:val="single" w:sz="8" w:color="C7C8CA"/>
            </w:tcBorders>
            <w:shd w:val="clear" w:color="auto" w:fill="231F20"/>
          </w:tcPr>
          <w:p>
            <w:pPr>
              <w:spacing w:after="0"/>
              <w:rPr>
                <w:sz w:val="13"/>
                <w:szCs w:val="13"/>
                <w:color w:val="auto"/>
              </w:rPr>
            </w:pPr>
          </w:p>
        </w:tc>
        <w:tc>
          <w:tcPr>
            <w:tcW w:w="4640" w:type="dxa"/>
            <w:vAlign w:val="bottom"/>
            <w:tcBorders>
              <w:bottom w:val="single" w:sz="8" w:color="231F20"/>
              <w:right w:val="single" w:sz="8" w:color="C7C8CA"/>
            </w:tcBorders>
            <w:shd w:val="clear" w:color="auto" w:fill="231F20"/>
          </w:tcPr>
          <w:p>
            <w:pPr>
              <w:spacing w:after="0"/>
              <w:rPr>
                <w:sz w:val="13"/>
                <w:szCs w:val="13"/>
                <w:color w:val="auto"/>
              </w:rPr>
            </w:pPr>
          </w:p>
        </w:tc>
        <w:tc>
          <w:tcPr>
            <w:tcW w:w="1520" w:type="dxa"/>
            <w:vAlign w:val="bottom"/>
            <w:tcBorders>
              <w:bottom w:val="single" w:sz="8" w:color="231F20"/>
              <w:right w:val="single" w:sz="8" w:color="C7C8CA"/>
            </w:tcBorders>
            <w:shd w:val="clear" w:color="auto" w:fill="231F20"/>
          </w:tcPr>
          <w:p>
            <w:pPr>
              <w:spacing w:after="0"/>
              <w:rPr>
                <w:sz w:val="13"/>
                <w:szCs w:val="13"/>
                <w:color w:val="auto"/>
              </w:rPr>
            </w:pPr>
          </w:p>
        </w:tc>
        <w:tc>
          <w:tcPr>
            <w:tcW w:w="980" w:type="dxa"/>
            <w:vAlign w:val="bottom"/>
            <w:tcBorders>
              <w:bottom w:val="single" w:sz="8" w:color="231F20"/>
              <w:right w:val="single" w:sz="8" w:color="C7C8CA"/>
            </w:tcBorders>
            <w:vMerge w:val="continue"/>
            <w:shd w:val="clear" w:color="auto" w:fill="231F20"/>
          </w:tcPr>
          <w:p>
            <w:pPr>
              <w:spacing w:after="0"/>
              <w:rPr>
                <w:sz w:val="13"/>
                <w:szCs w:val="13"/>
                <w:color w:val="auto"/>
              </w:rPr>
            </w:pPr>
          </w:p>
        </w:tc>
        <w:tc>
          <w:tcPr>
            <w:tcW w:w="1460" w:type="dxa"/>
            <w:vAlign w:val="bottom"/>
            <w:tcBorders>
              <w:bottom w:val="single" w:sz="8" w:color="231F20"/>
              <w:right w:val="single" w:sz="8" w:color="C7C8CA"/>
            </w:tcBorders>
            <w:vMerge w:val="continue"/>
            <w:shd w:val="clear" w:color="auto" w:fill="231F20"/>
          </w:tcPr>
          <w:p>
            <w:pPr>
              <w:spacing w:after="0"/>
              <w:rPr>
                <w:sz w:val="13"/>
                <w:szCs w:val="13"/>
                <w:color w:val="auto"/>
              </w:rPr>
            </w:pPr>
          </w:p>
        </w:tc>
        <w:tc>
          <w:tcPr>
            <w:tcW w:w="1500" w:type="dxa"/>
            <w:vAlign w:val="bottom"/>
            <w:tcBorders>
              <w:bottom w:val="single" w:sz="8" w:color="231F20"/>
            </w:tcBorders>
            <w:shd w:val="clear" w:color="auto" w:fill="231F20"/>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40" w:type="dxa"/>
            <w:vAlign w:val="bottom"/>
            <w:tcBorders>
              <w:top w:val="single" w:sz="8" w:color="C7C8CA"/>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5"/>
              </w:rPr>
              <w:t>5.09</w:t>
            </w:r>
          </w:p>
        </w:tc>
        <w:tc>
          <w:tcPr>
            <w:tcW w:w="4640" w:type="dxa"/>
            <w:vAlign w:val="bottom"/>
            <w:tcBorders>
              <w:top w:val="single" w:sz="8" w:color="C7C8CA"/>
              <w:right w:val="single" w:sz="8" w:color="C7C8CA"/>
            </w:tcBorders>
          </w:tcPr>
          <w:p>
            <w:pPr>
              <w:ind w:left="40"/>
              <w:spacing w:after="0" w:line="185" w:lineRule="exact"/>
              <w:rPr>
                <w:sz w:val="20"/>
                <w:szCs w:val="20"/>
                <w:color w:val="auto"/>
              </w:rPr>
            </w:pPr>
            <w:r>
              <w:rPr>
                <w:rFonts w:ascii="Times New Roman" w:cs="Times New Roman" w:eastAsia="Times New Roman" w:hAnsi="Times New Roman"/>
                <w:sz w:val="18"/>
                <w:szCs w:val="18"/>
                <w:color w:val="231F20"/>
              </w:rPr>
              <w:t>Prepare and Review CRF Completion</w:t>
            </w:r>
          </w:p>
        </w:tc>
        <w:tc>
          <w:tcPr>
            <w:tcW w:w="1520" w:type="dxa"/>
            <w:vAlign w:val="bottom"/>
            <w:tcBorders>
              <w:top w:val="single" w:sz="8" w:color="C7C8CA"/>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development form</w:t>
            </w:r>
          </w:p>
        </w:tc>
        <w:tc>
          <w:tcPr>
            <w:tcW w:w="980" w:type="dxa"/>
            <w:vAlign w:val="bottom"/>
            <w:tcBorders>
              <w:top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1460" w:type="dxa"/>
            <w:vAlign w:val="bottom"/>
            <w:tcBorders>
              <w:top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$120.50</w:t>
            </w:r>
          </w:p>
        </w:tc>
        <w:tc>
          <w:tcPr>
            <w:tcW w:w="1500" w:type="dxa"/>
            <w:vAlign w:val="bottom"/>
            <w:tcBorders>
              <w:top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$6,025</w:t>
            </w:r>
          </w:p>
        </w:tc>
        <w:tc>
          <w:tcPr>
            <w:tcW w:w="0" w:type="dxa"/>
            <w:vAlign w:val="bottom"/>
          </w:tcPr>
          <w:p>
            <w:pPr>
              <w:spacing w:after="0"/>
              <w:rPr>
                <w:sz w:val="1"/>
                <w:szCs w:val="1"/>
                <w:color w:val="auto"/>
              </w:rPr>
            </w:pPr>
          </w:p>
        </w:tc>
      </w:tr>
      <w:tr>
        <w:trPr>
          <w:trHeight w:val="126"/>
        </w:trPr>
        <w:tc>
          <w:tcPr>
            <w:tcW w:w="1140" w:type="dxa"/>
            <w:vAlign w:val="bottom"/>
            <w:tcBorders>
              <w:left w:val="single" w:sz="8" w:color="C7C8CA"/>
              <w:right w:val="single" w:sz="8" w:color="C7C8CA"/>
            </w:tcBorders>
            <w:vMerge w:val="continue"/>
          </w:tcPr>
          <w:p>
            <w:pPr>
              <w:spacing w:after="0"/>
              <w:rPr>
                <w:sz w:val="10"/>
                <w:szCs w:val="10"/>
                <w:color w:val="auto"/>
              </w:rPr>
            </w:pPr>
          </w:p>
        </w:tc>
        <w:tc>
          <w:tcPr>
            <w:tcW w:w="464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Guidelines</w:t>
            </w:r>
          </w:p>
        </w:tc>
        <w:tc>
          <w:tcPr>
            <w:tcW w:w="1520" w:type="dxa"/>
            <w:vAlign w:val="bottom"/>
            <w:tcBorders>
              <w:right w:val="single" w:sz="8" w:color="C7C8CA"/>
            </w:tcBorders>
            <w:vMerge w:val="continue"/>
          </w:tcPr>
          <w:p>
            <w:pPr>
              <w:spacing w:after="0"/>
              <w:rPr>
                <w:sz w:val="10"/>
                <w:szCs w:val="10"/>
                <w:color w:val="auto"/>
              </w:rPr>
            </w:pPr>
          </w:p>
        </w:tc>
        <w:tc>
          <w:tcPr>
            <w:tcW w:w="980" w:type="dxa"/>
            <w:vAlign w:val="bottom"/>
            <w:tcBorders>
              <w:right w:val="single" w:sz="8" w:color="C7C8CA"/>
            </w:tcBorders>
            <w:vMerge w:val="continue"/>
          </w:tcPr>
          <w:p>
            <w:pPr>
              <w:spacing w:after="0"/>
              <w:rPr>
                <w:sz w:val="10"/>
                <w:szCs w:val="10"/>
                <w:color w:val="auto"/>
              </w:rPr>
            </w:pPr>
          </w:p>
        </w:tc>
        <w:tc>
          <w:tcPr>
            <w:tcW w:w="1460" w:type="dxa"/>
            <w:vAlign w:val="bottom"/>
            <w:tcBorders>
              <w:right w:val="single" w:sz="8" w:color="C7C8CA"/>
            </w:tcBorders>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Borders>
              <w:left w:val="single" w:sz="8" w:color="C7C8CA"/>
              <w:bottom w:val="single" w:sz="8" w:color="C7C8CA"/>
              <w:right w:val="single" w:sz="8" w:color="C7C8CA"/>
            </w:tcBorders>
          </w:tcPr>
          <w:p>
            <w:pPr>
              <w:spacing w:after="0"/>
              <w:rPr>
                <w:sz w:val="10"/>
                <w:szCs w:val="10"/>
                <w:color w:val="auto"/>
              </w:rPr>
            </w:pPr>
          </w:p>
        </w:tc>
        <w:tc>
          <w:tcPr>
            <w:tcW w:w="4640" w:type="dxa"/>
            <w:vAlign w:val="bottom"/>
            <w:tcBorders>
              <w:bottom w:val="single" w:sz="8" w:color="C7C8CA"/>
              <w:right w:val="single" w:sz="8" w:color="C7C8CA"/>
            </w:tcBorders>
            <w:vMerge w:val="continue"/>
          </w:tcPr>
          <w:p>
            <w:pPr>
              <w:spacing w:after="0"/>
              <w:rPr>
                <w:sz w:val="10"/>
                <w:szCs w:val="10"/>
                <w:color w:val="auto"/>
              </w:rPr>
            </w:pPr>
          </w:p>
        </w:tc>
        <w:tc>
          <w:tcPr>
            <w:tcW w:w="1520" w:type="dxa"/>
            <w:vAlign w:val="bottom"/>
            <w:tcBorders>
              <w:bottom w:val="single" w:sz="8" w:color="C7C8CA"/>
              <w:right w:val="single" w:sz="8" w:color="C7C8CA"/>
            </w:tcBorders>
          </w:tcPr>
          <w:p>
            <w:pPr>
              <w:spacing w:after="0"/>
              <w:rPr>
                <w:sz w:val="10"/>
                <w:szCs w:val="10"/>
                <w:color w:val="auto"/>
              </w:rPr>
            </w:pPr>
          </w:p>
        </w:tc>
        <w:tc>
          <w:tcPr>
            <w:tcW w:w="980" w:type="dxa"/>
            <w:vAlign w:val="bottom"/>
            <w:tcBorders>
              <w:bottom w:val="single" w:sz="8" w:color="C7C8CA"/>
              <w:right w:val="single" w:sz="8" w:color="C7C8CA"/>
            </w:tcBorders>
          </w:tcPr>
          <w:p>
            <w:pPr>
              <w:spacing w:after="0"/>
              <w:rPr>
                <w:sz w:val="10"/>
                <w:szCs w:val="10"/>
                <w:color w:val="auto"/>
              </w:rPr>
            </w:pPr>
          </w:p>
        </w:tc>
        <w:tc>
          <w:tcPr>
            <w:tcW w:w="1460" w:type="dxa"/>
            <w:vAlign w:val="bottom"/>
            <w:tcBorders>
              <w:bottom w:val="single" w:sz="8" w:color="C7C8CA"/>
              <w:right w:val="single" w:sz="8" w:color="C7C8CA"/>
            </w:tcBorders>
          </w:tcPr>
          <w:p>
            <w:pPr>
              <w:spacing w:after="0"/>
              <w:rPr>
                <w:sz w:val="10"/>
                <w:szCs w:val="10"/>
                <w:color w:val="auto"/>
              </w:rPr>
            </w:pPr>
          </w:p>
        </w:tc>
        <w:tc>
          <w:tcPr>
            <w:tcW w:w="150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14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5"/>
              </w:rPr>
              <w:t>5.10</w:t>
            </w:r>
          </w:p>
        </w:tc>
        <w:tc>
          <w:tcPr>
            <w:tcW w:w="464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Prepare and Review Annotated CRF</w:t>
            </w:r>
          </w:p>
        </w:tc>
        <w:tc>
          <w:tcPr>
            <w:tcW w:w="152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development</w:t>
            </w:r>
          </w:p>
        </w:tc>
        <w:tc>
          <w:tcPr>
            <w:tcW w:w="98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146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$241.00</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$12,050</w:t>
            </w:r>
          </w:p>
        </w:tc>
        <w:tc>
          <w:tcPr>
            <w:tcW w:w="0" w:type="dxa"/>
            <w:vAlign w:val="bottom"/>
          </w:tcPr>
          <w:p>
            <w:pPr>
              <w:spacing w:after="0"/>
              <w:rPr>
                <w:sz w:val="1"/>
                <w:szCs w:val="1"/>
                <w:color w:val="auto"/>
              </w:rPr>
            </w:pPr>
          </w:p>
        </w:tc>
      </w:tr>
      <w:tr>
        <w:trPr>
          <w:trHeight w:val="126"/>
        </w:trPr>
        <w:tc>
          <w:tcPr>
            <w:tcW w:w="1140" w:type="dxa"/>
            <w:vAlign w:val="bottom"/>
            <w:tcBorders>
              <w:left w:val="single" w:sz="8" w:color="C7C8CA"/>
              <w:right w:val="single" w:sz="8" w:color="C7C8CA"/>
            </w:tcBorders>
            <w:vMerge w:val="continue"/>
          </w:tcPr>
          <w:p>
            <w:pPr>
              <w:spacing w:after="0"/>
              <w:rPr>
                <w:sz w:val="10"/>
                <w:szCs w:val="10"/>
                <w:color w:val="auto"/>
              </w:rPr>
            </w:pPr>
          </w:p>
        </w:tc>
        <w:tc>
          <w:tcPr>
            <w:tcW w:w="4640" w:type="dxa"/>
            <w:vAlign w:val="bottom"/>
            <w:tcBorders>
              <w:right w:val="single" w:sz="8" w:color="C7C8CA"/>
            </w:tcBorders>
            <w:vMerge w:val="continue"/>
          </w:tcPr>
          <w:p>
            <w:pPr>
              <w:spacing w:after="0"/>
              <w:rPr>
                <w:sz w:val="10"/>
                <w:szCs w:val="10"/>
                <w:color w:val="auto"/>
              </w:rPr>
            </w:pPr>
          </w:p>
        </w:tc>
        <w:tc>
          <w:tcPr>
            <w:tcW w:w="152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form</w:t>
            </w:r>
          </w:p>
        </w:tc>
        <w:tc>
          <w:tcPr>
            <w:tcW w:w="980" w:type="dxa"/>
            <w:vAlign w:val="bottom"/>
            <w:tcBorders>
              <w:right w:val="single" w:sz="8" w:color="C7C8CA"/>
            </w:tcBorders>
            <w:vMerge w:val="continue"/>
          </w:tcPr>
          <w:p>
            <w:pPr>
              <w:spacing w:after="0"/>
              <w:rPr>
                <w:sz w:val="10"/>
                <w:szCs w:val="10"/>
                <w:color w:val="auto"/>
              </w:rPr>
            </w:pPr>
          </w:p>
        </w:tc>
        <w:tc>
          <w:tcPr>
            <w:tcW w:w="1460" w:type="dxa"/>
            <w:vAlign w:val="bottom"/>
            <w:tcBorders>
              <w:right w:val="single" w:sz="8" w:color="C7C8CA"/>
            </w:tcBorders>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Borders>
              <w:left w:val="single" w:sz="8" w:color="C7C8CA"/>
              <w:bottom w:val="single" w:sz="8" w:color="C7C8CA"/>
              <w:right w:val="single" w:sz="8" w:color="C7C8CA"/>
            </w:tcBorders>
          </w:tcPr>
          <w:p>
            <w:pPr>
              <w:spacing w:after="0"/>
              <w:rPr>
                <w:sz w:val="10"/>
                <w:szCs w:val="10"/>
                <w:color w:val="auto"/>
              </w:rPr>
            </w:pPr>
          </w:p>
        </w:tc>
        <w:tc>
          <w:tcPr>
            <w:tcW w:w="4640" w:type="dxa"/>
            <w:vAlign w:val="bottom"/>
            <w:tcBorders>
              <w:bottom w:val="single" w:sz="8" w:color="C7C8CA"/>
              <w:right w:val="single" w:sz="8" w:color="C7C8CA"/>
            </w:tcBorders>
          </w:tcPr>
          <w:p>
            <w:pPr>
              <w:spacing w:after="0"/>
              <w:rPr>
                <w:sz w:val="10"/>
                <w:szCs w:val="10"/>
                <w:color w:val="auto"/>
              </w:rPr>
            </w:pPr>
          </w:p>
        </w:tc>
        <w:tc>
          <w:tcPr>
            <w:tcW w:w="1520" w:type="dxa"/>
            <w:vAlign w:val="bottom"/>
            <w:tcBorders>
              <w:bottom w:val="single" w:sz="8" w:color="C7C8CA"/>
              <w:right w:val="single" w:sz="8" w:color="C7C8CA"/>
            </w:tcBorders>
            <w:vMerge w:val="continue"/>
          </w:tcPr>
          <w:p>
            <w:pPr>
              <w:spacing w:after="0"/>
              <w:rPr>
                <w:sz w:val="10"/>
                <w:szCs w:val="10"/>
                <w:color w:val="auto"/>
              </w:rPr>
            </w:pPr>
          </w:p>
        </w:tc>
        <w:tc>
          <w:tcPr>
            <w:tcW w:w="980" w:type="dxa"/>
            <w:vAlign w:val="bottom"/>
            <w:tcBorders>
              <w:bottom w:val="single" w:sz="8" w:color="C7C8CA"/>
              <w:right w:val="single" w:sz="8" w:color="C7C8CA"/>
            </w:tcBorders>
          </w:tcPr>
          <w:p>
            <w:pPr>
              <w:spacing w:after="0"/>
              <w:rPr>
                <w:sz w:val="10"/>
                <w:szCs w:val="10"/>
                <w:color w:val="auto"/>
              </w:rPr>
            </w:pPr>
          </w:p>
        </w:tc>
        <w:tc>
          <w:tcPr>
            <w:tcW w:w="1460" w:type="dxa"/>
            <w:vAlign w:val="bottom"/>
            <w:tcBorders>
              <w:bottom w:val="single" w:sz="8" w:color="C7C8CA"/>
              <w:right w:val="single" w:sz="8" w:color="C7C8CA"/>
            </w:tcBorders>
          </w:tcPr>
          <w:p>
            <w:pPr>
              <w:spacing w:after="0"/>
              <w:rPr>
                <w:sz w:val="10"/>
                <w:szCs w:val="10"/>
                <w:color w:val="auto"/>
              </w:rPr>
            </w:pPr>
          </w:p>
        </w:tc>
        <w:tc>
          <w:tcPr>
            <w:tcW w:w="150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5.11</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Develop and Review Data Management Plan</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document</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$4,820.00</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$4,820</w:t>
            </w:r>
          </w:p>
        </w:tc>
        <w:tc>
          <w:tcPr>
            <w:tcW w:w="0" w:type="dxa"/>
            <w:vAlign w:val="bottom"/>
          </w:tcPr>
          <w:p>
            <w:pPr>
              <w:spacing w:after="0"/>
              <w:rPr>
                <w:sz w:val="1"/>
                <w:szCs w:val="1"/>
                <w:color w:val="auto"/>
              </w:rPr>
            </w:pPr>
          </w:p>
        </w:tc>
      </w:tr>
      <w:tr>
        <w:trPr>
          <w:trHeight w:val="209"/>
        </w:trPr>
        <w:tc>
          <w:tcPr>
            <w:tcW w:w="114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5"/>
              </w:rPr>
              <w:t>5.12</w:t>
            </w:r>
          </w:p>
        </w:tc>
        <w:tc>
          <w:tcPr>
            <w:tcW w:w="464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Integrated Data Review Plan (IDRP)</w:t>
            </w:r>
          </w:p>
        </w:tc>
        <w:tc>
          <w:tcPr>
            <w:tcW w:w="152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plan</w:t>
            </w:r>
          </w:p>
        </w:tc>
        <w:tc>
          <w:tcPr>
            <w:tcW w:w="98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146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$2,378.00</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$2,378</w:t>
            </w:r>
          </w:p>
        </w:tc>
        <w:tc>
          <w:tcPr>
            <w:tcW w:w="0" w:type="dxa"/>
            <w:vAlign w:val="bottom"/>
          </w:tcPr>
          <w:p>
            <w:pPr>
              <w:spacing w:after="0"/>
              <w:rPr>
                <w:sz w:val="1"/>
                <w:szCs w:val="1"/>
                <w:color w:val="auto"/>
              </w:rPr>
            </w:pPr>
          </w:p>
        </w:tc>
      </w:tr>
      <w:tr>
        <w:trPr>
          <w:trHeight w:val="126"/>
        </w:trPr>
        <w:tc>
          <w:tcPr>
            <w:tcW w:w="1140" w:type="dxa"/>
            <w:vAlign w:val="bottom"/>
            <w:tcBorders>
              <w:left w:val="single" w:sz="8" w:color="C7C8CA"/>
              <w:right w:val="single" w:sz="8" w:color="C7C8CA"/>
            </w:tcBorders>
            <w:vMerge w:val="continue"/>
          </w:tcPr>
          <w:p>
            <w:pPr>
              <w:spacing w:after="0"/>
              <w:rPr>
                <w:sz w:val="10"/>
                <w:szCs w:val="10"/>
                <w:color w:val="auto"/>
              </w:rPr>
            </w:pPr>
          </w:p>
        </w:tc>
        <w:tc>
          <w:tcPr>
            <w:tcW w:w="464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Development</w:t>
            </w:r>
          </w:p>
        </w:tc>
        <w:tc>
          <w:tcPr>
            <w:tcW w:w="1520" w:type="dxa"/>
            <w:vAlign w:val="bottom"/>
            <w:tcBorders>
              <w:right w:val="single" w:sz="8" w:color="C7C8CA"/>
            </w:tcBorders>
            <w:vMerge w:val="continue"/>
          </w:tcPr>
          <w:p>
            <w:pPr>
              <w:spacing w:after="0"/>
              <w:rPr>
                <w:sz w:val="10"/>
                <w:szCs w:val="10"/>
                <w:color w:val="auto"/>
              </w:rPr>
            </w:pPr>
          </w:p>
        </w:tc>
        <w:tc>
          <w:tcPr>
            <w:tcW w:w="980" w:type="dxa"/>
            <w:vAlign w:val="bottom"/>
            <w:tcBorders>
              <w:right w:val="single" w:sz="8" w:color="C7C8CA"/>
            </w:tcBorders>
            <w:vMerge w:val="continue"/>
          </w:tcPr>
          <w:p>
            <w:pPr>
              <w:spacing w:after="0"/>
              <w:rPr>
                <w:sz w:val="10"/>
                <w:szCs w:val="10"/>
                <w:color w:val="auto"/>
              </w:rPr>
            </w:pPr>
          </w:p>
        </w:tc>
        <w:tc>
          <w:tcPr>
            <w:tcW w:w="1460" w:type="dxa"/>
            <w:vAlign w:val="bottom"/>
            <w:tcBorders>
              <w:right w:val="single" w:sz="8" w:color="C7C8CA"/>
            </w:tcBorders>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Borders>
              <w:left w:val="single" w:sz="8" w:color="C7C8CA"/>
              <w:bottom w:val="single" w:sz="8" w:color="C7C8CA"/>
              <w:right w:val="single" w:sz="8" w:color="C7C8CA"/>
            </w:tcBorders>
          </w:tcPr>
          <w:p>
            <w:pPr>
              <w:spacing w:after="0"/>
              <w:rPr>
                <w:sz w:val="10"/>
                <w:szCs w:val="10"/>
                <w:color w:val="auto"/>
              </w:rPr>
            </w:pPr>
          </w:p>
        </w:tc>
        <w:tc>
          <w:tcPr>
            <w:tcW w:w="4640" w:type="dxa"/>
            <w:vAlign w:val="bottom"/>
            <w:tcBorders>
              <w:bottom w:val="single" w:sz="8" w:color="C7C8CA"/>
              <w:right w:val="single" w:sz="8" w:color="C7C8CA"/>
            </w:tcBorders>
            <w:vMerge w:val="continue"/>
          </w:tcPr>
          <w:p>
            <w:pPr>
              <w:spacing w:after="0"/>
              <w:rPr>
                <w:sz w:val="10"/>
                <w:szCs w:val="10"/>
                <w:color w:val="auto"/>
              </w:rPr>
            </w:pPr>
          </w:p>
        </w:tc>
        <w:tc>
          <w:tcPr>
            <w:tcW w:w="1520" w:type="dxa"/>
            <w:vAlign w:val="bottom"/>
            <w:tcBorders>
              <w:bottom w:val="single" w:sz="8" w:color="C7C8CA"/>
              <w:right w:val="single" w:sz="8" w:color="C7C8CA"/>
            </w:tcBorders>
          </w:tcPr>
          <w:p>
            <w:pPr>
              <w:spacing w:after="0"/>
              <w:rPr>
                <w:sz w:val="10"/>
                <w:szCs w:val="10"/>
                <w:color w:val="auto"/>
              </w:rPr>
            </w:pPr>
          </w:p>
        </w:tc>
        <w:tc>
          <w:tcPr>
            <w:tcW w:w="980" w:type="dxa"/>
            <w:vAlign w:val="bottom"/>
            <w:tcBorders>
              <w:bottom w:val="single" w:sz="8" w:color="C7C8CA"/>
              <w:right w:val="single" w:sz="8" w:color="C7C8CA"/>
            </w:tcBorders>
          </w:tcPr>
          <w:p>
            <w:pPr>
              <w:spacing w:after="0"/>
              <w:rPr>
                <w:sz w:val="10"/>
                <w:szCs w:val="10"/>
                <w:color w:val="auto"/>
              </w:rPr>
            </w:pPr>
          </w:p>
        </w:tc>
        <w:tc>
          <w:tcPr>
            <w:tcW w:w="1460" w:type="dxa"/>
            <w:vAlign w:val="bottom"/>
            <w:tcBorders>
              <w:bottom w:val="single" w:sz="8" w:color="C7C8CA"/>
              <w:right w:val="single" w:sz="8" w:color="C7C8CA"/>
            </w:tcBorders>
          </w:tcPr>
          <w:p>
            <w:pPr>
              <w:spacing w:after="0"/>
              <w:rPr>
                <w:sz w:val="10"/>
                <w:szCs w:val="10"/>
                <w:color w:val="auto"/>
              </w:rPr>
            </w:pPr>
          </w:p>
        </w:tc>
        <w:tc>
          <w:tcPr>
            <w:tcW w:w="150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14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5"/>
              </w:rPr>
              <w:t>5.13</w:t>
            </w:r>
          </w:p>
        </w:tc>
        <w:tc>
          <w:tcPr>
            <w:tcW w:w="464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EDC UAT</w:t>
            </w:r>
          </w:p>
        </w:tc>
        <w:tc>
          <w:tcPr>
            <w:tcW w:w="152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development</w:t>
            </w:r>
          </w:p>
        </w:tc>
        <w:tc>
          <w:tcPr>
            <w:tcW w:w="98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146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$180.75</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$9,038</w:t>
            </w:r>
          </w:p>
        </w:tc>
        <w:tc>
          <w:tcPr>
            <w:tcW w:w="0" w:type="dxa"/>
            <w:vAlign w:val="bottom"/>
          </w:tcPr>
          <w:p>
            <w:pPr>
              <w:spacing w:after="0"/>
              <w:rPr>
                <w:sz w:val="1"/>
                <w:szCs w:val="1"/>
                <w:color w:val="auto"/>
              </w:rPr>
            </w:pPr>
          </w:p>
        </w:tc>
      </w:tr>
      <w:tr>
        <w:trPr>
          <w:trHeight w:val="126"/>
        </w:trPr>
        <w:tc>
          <w:tcPr>
            <w:tcW w:w="1140" w:type="dxa"/>
            <w:vAlign w:val="bottom"/>
            <w:tcBorders>
              <w:left w:val="single" w:sz="8" w:color="C7C8CA"/>
              <w:right w:val="single" w:sz="8" w:color="C7C8CA"/>
            </w:tcBorders>
            <w:vMerge w:val="continue"/>
          </w:tcPr>
          <w:p>
            <w:pPr>
              <w:spacing w:after="0"/>
              <w:rPr>
                <w:sz w:val="10"/>
                <w:szCs w:val="10"/>
                <w:color w:val="auto"/>
              </w:rPr>
            </w:pPr>
          </w:p>
        </w:tc>
        <w:tc>
          <w:tcPr>
            <w:tcW w:w="4640" w:type="dxa"/>
            <w:vAlign w:val="bottom"/>
            <w:tcBorders>
              <w:right w:val="single" w:sz="8" w:color="C7C8CA"/>
            </w:tcBorders>
            <w:vMerge w:val="continue"/>
          </w:tcPr>
          <w:p>
            <w:pPr>
              <w:spacing w:after="0"/>
              <w:rPr>
                <w:sz w:val="10"/>
                <w:szCs w:val="10"/>
                <w:color w:val="auto"/>
              </w:rPr>
            </w:pPr>
          </w:p>
        </w:tc>
        <w:tc>
          <w:tcPr>
            <w:tcW w:w="152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form</w:t>
            </w:r>
          </w:p>
        </w:tc>
        <w:tc>
          <w:tcPr>
            <w:tcW w:w="980" w:type="dxa"/>
            <w:vAlign w:val="bottom"/>
            <w:tcBorders>
              <w:right w:val="single" w:sz="8" w:color="C7C8CA"/>
            </w:tcBorders>
            <w:vMerge w:val="continue"/>
          </w:tcPr>
          <w:p>
            <w:pPr>
              <w:spacing w:after="0"/>
              <w:rPr>
                <w:sz w:val="10"/>
                <w:szCs w:val="10"/>
                <w:color w:val="auto"/>
              </w:rPr>
            </w:pPr>
          </w:p>
        </w:tc>
        <w:tc>
          <w:tcPr>
            <w:tcW w:w="1460" w:type="dxa"/>
            <w:vAlign w:val="bottom"/>
            <w:tcBorders>
              <w:right w:val="single" w:sz="8" w:color="C7C8CA"/>
            </w:tcBorders>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Borders>
              <w:left w:val="single" w:sz="8" w:color="C7C8CA"/>
              <w:bottom w:val="single" w:sz="8" w:color="C7C8CA"/>
              <w:right w:val="single" w:sz="8" w:color="C7C8CA"/>
            </w:tcBorders>
          </w:tcPr>
          <w:p>
            <w:pPr>
              <w:spacing w:after="0"/>
              <w:rPr>
                <w:sz w:val="10"/>
                <w:szCs w:val="10"/>
                <w:color w:val="auto"/>
              </w:rPr>
            </w:pPr>
          </w:p>
        </w:tc>
        <w:tc>
          <w:tcPr>
            <w:tcW w:w="4640" w:type="dxa"/>
            <w:vAlign w:val="bottom"/>
            <w:tcBorders>
              <w:bottom w:val="single" w:sz="8" w:color="C7C8CA"/>
              <w:right w:val="single" w:sz="8" w:color="C7C8CA"/>
            </w:tcBorders>
          </w:tcPr>
          <w:p>
            <w:pPr>
              <w:spacing w:after="0"/>
              <w:rPr>
                <w:sz w:val="10"/>
                <w:szCs w:val="10"/>
                <w:color w:val="auto"/>
              </w:rPr>
            </w:pPr>
          </w:p>
        </w:tc>
        <w:tc>
          <w:tcPr>
            <w:tcW w:w="1520" w:type="dxa"/>
            <w:vAlign w:val="bottom"/>
            <w:tcBorders>
              <w:bottom w:val="single" w:sz="8" w:color="C7C8CA"/>
              <w:right w:val="single" w:sz="8" w:color="C7C8CA"/>
            </w:tcBorders>
            <w:vMerge w:val="continue"/>
          </w:tcPr>
          <w:p>
            <w:pPr>
              <w:spacing w:after="0"/>
              <w:rPr>
                <w:sz w:val="10"/>
                <w:szCs w:val="10"/>
                <w:color w:val="auto"/>
              </w:rPr>
            </w:pPr>
          </w:p>
        </w:tc>
        <w:tc>
          <w:tcPr>
            <w:tcW w:w="980" w:type="dxa"/>
            <w:vAlign w:val="bottom"/>
            <w:tcBorders>
              <w:bottom w:val="single" w:sz="8" w:color="C7C8CA"/>
              <w:right w:val="single" w:sz="8" w:color="C7C8CA"/>
            </w:tcBorders>
          </w:tcPr>
          <w:p>
            <w:pPr>
              <w:spacing w:after="0"/>
              <w:rPr>
                <w:sz w:val="10"/>
                <w:szCs w:val="10"/>
                <w:color w:val="auto"/>
              </w:rPr>
            </w:pPr>
          </w:p>
        </w:tc>
        <w:tc>
          <w:tcPr>
            <w:tcW w:w="1460" w:type="dxa"/>
            <w:vAlign w:val="bottom"/>
            <w:tcBorders>
              <w:bottom w:val="single" w:sz="8" w:color="C7C8CA"/>
              <w:right w:val="single" w:sz="8" w:color="C7C8CA"/>
            </w:tcBorders>
          </w:tcPr>
          <w:p>
            <w:pPr>
              <w:spacing w:after="0"/>
              <w:rPr>
                <w:sz w:val="10"/>
                <w:szCs w:val="10"/>
                <w:color w:val="auto"/>
              </w:rPr>
            </w:pPr>
          </w:p>
        </w:tc>
        <w:tc>
          <w:tcPr>
            <w:tcW w:w="150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140" w:type="dxa"/>
            <w:vAlign w:val="bottom"/>
            <w:tcBorders>
              <w:left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5.14</w:t>
            </w:r>
          </w:p>
        </w:tc>
        <w:tc>
          <w:tcPr>
            <w:tcW w:w="464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Setup Coding Dictionary</w:t>
            </w:r>
          </w:p>
        </w:tc>
        <w:tc>
          <w:tcPr>
            <w:tcW w:w="152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dictionary</w:t>
            </w:r>
          </w:p>
        </w:tc>
        <w:tc>
          <w:tcPr>
            <w:tcW w:w="98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2</w:t>
            </w:r>
          </w:p>
        </w:tc>
        <w:tc>
          <w:tcPr>
            <w:tcW w:w="146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$3,434.25</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$6,869</w:t>
            </w:r>
          </w:p>
        </w:tc>
        <w:tc>
          <w:tcPr>
            <w:tcW w:w="0" w:type="dxa"/>
            <w:vAlign w:val="bottom"/>
          </w:tcPr>
          <w:p>
            <w:pPr>
              <w:spacing w:after="0"/>
              <w:rPr>
                <w:sz w:val="1"/>
                <w:szCs w:val="1"/>
                <w:color w:val="auto"/>
              </w:rPr>
            </w:pPr>
          </w:p>
        </w:tc>
      </w:tr>
      <w:tr>
        <w:trPr>
          <w:trHeight w:val="274"/>
        </w:trPr>
        <w:tc>
          <w:tcPr>
            <w:tcW w:w="1140" w:type="dxa"/>
            <w:vAlign w:val="bottom"/>
            <w:tcBorders>
              <w:left w:val="single" w:sz="8" w:color="C7C8CA"/>
              <w:right w:val="single" w:sz="8" w:color="15489E"/>
            </w:tcBorders>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6</w:t>
            </w:r>
          </w:p>
        </w:tc>
        <w:tc>
          <w:tcPr>
            <w:tcW w:w="4640" w:type="dxa"/>
            <w:vAlign w:val="bottom"/>
            <w:tcBorders>
              <w:right w:val="single" w:sz="8" w:color="C7C8CA"/>
            </w:tcBorders>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BIOSTATISTICS</w:t>
            </w:r>
          </w:p>
        </w:tc>
        <w:tc>
          <w:tcPr>
            <w:tcW w:w="1520" w:type="dxa"/>
            <w:vAlign w:val="bottom"/>
            <w:tcBorders>
              <w:right w:val="single" w:sz="8" w:color="C7C8CA"/>
            </w:tcBorders>
            <w:shd w:val="clear" w:color="auto" w:fill="15489E"/>
          </w:tcPr>
          <w:p>
            <w:pPr>
              <w:spacing w:after="0"/>
              <w:rPr>
                <w:sz w:val="23"/>
                <w:szCs w:val="23"/>
                <w:color w:val="auto"/>
              </w:rPr>
            </w:pPr>
          </w:p>
        </w:tc>
        <w:tc>
          <w:tcPr>
            <w:tcW w:w="980" w:type="dxa"/>
            <w:vAlign w:val="bottom"/>
            <w:tcBorders>
              <w:right w:val="single" w:sz="8" w:color="C7C8CA"/>
            </w:tcBorders>
            <w:shd w:val="clear" w:color="auto" w:fill="15489E"/>
          </w:tcPr>
          <w:p>
            <w:pPr>
              <w:spacing w:after="0"/>
              <w:rPr>
                <w:sz w:val="23"/>
                <w:szCs w:val="23"/>
                <w:color w:val="auto"/>
              </w:rPr>
            </w:pPr>
          </w:p>
        </w:tc>
        <w:tc>
          <w:tcPr>
            <w:tcW w:w="1460" w:type="dxa"/>
            <w:vAlign w:val="bottom"/>
            <w:tcBorders>
              <w:right w:val="single" w:sz="8" w:color="C7C8CA"/>
            </w:tcBorders>
            <w:shd w:val="clear" w:color="auto" w:fill="15489E"/>
          </w:tcPr>
          <w:p>
            <w:pPr>
              <w:spacing w:after="0"/>
              <w:rPr>
                <w:sz w:val="23"/>
                <w:szCs w:val="23"/>
                <w:color w:val="auto"/>
              </w:rPr>
            </w:pPr>
          </w:p>
        </w:tc>
        <w:tc>
          <w:tcPr>
            <w:tcW w:w="1500" w:type="dxa"/>
            <w:vAlign w:val="bottom"/>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$16,360</w:t>
            </w:r>
          </w:p>
        </w:tc>
        <w:tc>
          <w:tcPr>
            <w:tcW w:w="0" w:type="dxa"/>
            <w:vAlign w:val="bottom"/>
          </w:tcPr>
          <w:p>
            <w:pPr>
              <w:spacing w:after="0"/>
              <w:rPr>
                <w:sz w:val="1"/>
                <w:szCs w:val="1"/>
                <w:color w:val="auto"/>
              </w:rPr>
            </w:pPr>
          </w:p>
        </w:tc>
      </w:tr>
      <w:tr>
        <w:trPr>
          <w:trHeight w:val="239"/>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6.01</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Sponsor TCs – Start Up Biostatistics</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Per month</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$378.79</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$1,136</w:t>
            </w:r>
          </w:p>
        </w:tc>
        <w:tc>
          <w:tcPr>
            <w:tcW w:w="0" w:type="dxa"/>
            <w:vAlign w:val="bottom"/>
          </w:tcPr>
          <w:p>
            <w:pPr>
              <w:spacing w:after="0"/>
              <w:rPr>
                <w:sz w:val="1"/>
                <w:szCs w:val="1"/>
                <w:color w:val="auto"/>
              </w:rPr>
            </w:pPr>
          </w:p>
        </w:tc>
      </w:tr>
      <w:tr>
        <w:trPr>
          <w:trHeight w:val="236"/>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6.06</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Internal Team TCs – Start Up Biostatistics</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Per month</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$419.74</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$1,259</w:t>
            </w:r>
          </w:p>
        </w:tc>
        <w:tc>
          <w:tcPr>
            <w:tcW w:w="0" w:type="dxa"/>
            <w:vAlign w:val="bottom"/>
          </w:tcPr>
          <w:p>
            <w:pPr>
              <w:spacing w:after="0"/>
              <w:rPr>
                <w:sz w:val="1"/>
                <w:szCs w:val="1"/>
                <w:color w:val="auto"/>
              </w:rPr>
            </w:pPr>
          </w:p>
        </w:tc>
      </w:tr>
      <w:tr>
        <w:trPr>
          <w:trHeight w:val="237"/>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6.11</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Study Training – Biostatistics Team</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Per hour</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6</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$381.58</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$2,289</w:t>
            </w:r>
          </w:p>
        </w:tc>
        <w:tc>
          <w:tcPr>
            <w:tcW w:w="0" w:type="dxa"/>
            <w:vAlign w:val="bottom"/>
          </w:tcPr>
          <w:p>
            <w:pPr>
              <w:spacing w:after="0"/>
              <w:rPr>
                <w:sz w:val="1"/>
                <w:szCs w:val="1"/>
                <w:color w:val="auto"/>
              </w:rPr>
            </w:pPr>
          </w:p>
        </w:tc>
      </w:tr>
      <w:tr>
        <w:trPr>
          <w:trHeight w:val="237"/>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6.14</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Data Cleaning Plan</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Per Plan</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$2,275.52</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$2,276</w:t>
            </w:r>
          </w:p>
        </w:tc>
        <w:tc>
          <w:tcPr>
            <w:tcW w:w="0" w:type="dxa"/>
            <w:vAlign w:val="bottom"/>
          </w:tcPr>
          <w:p>
            <w:pPr>
              <w:spacing w:after="0"/>
              <w:rPr>
                <w:sz w:val="1"/>
                <w:szCs w:val="1"/>
                <w:color w:val="auto"/>
              </w:rPr>
            </w:pPr>
          </w:p>
        </w:tc>
      </w:tr>
      <w:tr>
        <w:trPr>
          <w:trHeight w:val="209"/>
        </w:trPr>
        <w:tc>
          <w:tcPr>
            <w:tcW w:w="1140" w:type="dxa"/>
            <w:vAlign w:val="bottom"/>
            <w:tcBorders>
              <w:left w:val="single" w:sz="8" w:color="C7C8CA"/>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5"/>
              </w:rPr>
              <w:t>6.15</w:t>
            </w:r>
          </w:p>
        </w:tc>
        <w:tc>
          <w:tcPr>
            <w:tcW w:w="4640" w:type="dxa"/>
            <w:vAlign w:val="bottom"/>
            <w:tcBorders>
              <w:right w:val="single" w:sz="8" w:color="C7C8CA"/>
            </w:tcBorders>
            <w:vMerge w:val="restart"/>
          </w:tcPr>
          <w:p>
            <w:pPr>
              <w:ind w:left="40"/>
              <w:spacing w:after="0"/>
              <w:rPr>
                <w:sz w:val="20"/>
                <w:szCs w:val="20"/>
                <w:color w:val="auto"/>
              </w:rPr>
            </w:pPr>
            <w:r>
              <w:rPr>
                <w:rFonts w:ascii="Times New Roman" w:cs="Times New Roman" w:eastAsia="Times New Roman" w:hAnsi="Times New Roman"/>
                <w:sz w:val="18"/>
                <w:szCs w:val="18"/>
                <w:color w:val="231F20"/>
              </w:rPr>
              <w:t>Data Cleaning Programming</w:t>
            </w:r>
          </w:p>
        </w:tc>
        <w:tc>
          <w:tcPr>
            <w:tcW w:w="152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Per initial</w:t>
            </w:r>
          </w:p>
        </w:tc>
        <w:tc>
          <w:tcPr>
            <w:tcW w:w="98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1460" w:type="dxa"/>
            <w:vAlign w:val="bottom"/>
            <w:tcBorders>
              <w:right w:val="single" w:sz="8" w:color="C7C8CA"/>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$6,887.05</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rPr>
              <w:t>$6,887</w:t>
            </w:r>
          </w:p>
        </w:tc>
        <w:tc>
          <w:tcPr>
            <w:tcW w:w="0" w:type="dxa"/>
            <w:vAlign w:val="bottom"/>
          </w:tcPr>
          <w:p>
            <w:pPr>
              <w:spacing w:after="0"/>
              <w:rPr>
                <w:sz w:val="1"/>
                <w:szCs w:val="1"/>
                <w:color w:val="auto"/>
              </w:rPr>
            </w:pPr>
          </w:p>
        </w:tc>
      </w:tr>
      <w:tr>
        <w:trPr>
          <w:trHeight w:val="126"/>
        </w:trPr>
        <w:tc>
          <w:tcPr>
            <w:tcW w:w="1140" w:type="dxa"/>
            <w:vAlign w:val="bottom"/>
            <w:tcBorders>
              <w:left w:val="single" w:sz="8" w:color="C7C8CA"/>
              <w:right w:val="single" w:sz="8" w:color="C7C8CA"/>
            </w:tcBorders>
            <w:vMerge w:val="continue"/>
          </w:tcPr>
          <w:p>
            <w:pPr>
              <w:spacing w:after="0"/>
              <w:rPr>
                <w:sz w:val="10"/>
                <w:szCs w:val="10"/>
                <w:color w:val="auto"/>
              </w:rPr>
            </w:pPr>
          </w:p>
        </w:tc>
        <w:tc>
          <w:tcPr>
            <w:tcW w:w="4640" w:type="dxa"/>
            <w:vAlign w:val="bottom"/>
            <w:tcBorders>
              <w:right w:val="single" w:sz="8" w:color="C7C8CA"/>
            </w:tcBorders>
            <w:vMerge w:val="continue"/>
          </w:tcPr>
          <w:p>
            <w:pPr>
              <w:spacing w:after="0"/>
              <w:rPr>
                <w:sz w:val="10"/>
                <w:szCs w:val="10"/>
                <w:color w:val="auto"/>
              </w:rPr>
            </w:pPr>
          </w:p>
        </w:tc>
        <w:tc>
          <w:tcPr>
            <w:tcW w:w="1520" w:type="dxa"/>
            <w:vAlign w:val="bottom"/>
            <w:tcBorders>
              <w:right w:val="single" w:sz="8" w:color="C7C8CA"/>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program</w:t>
            </w:r>
          </w:p>
        </w:tc>
        <w:tc>
          <w:tcPr>
            <w:tcW w:w="980" w:type="dxa"/>
            <w:vAlign w:val="bottom"/>
            <w:tcBorders>
              <w:right w:val="single" w:sz="8" w:color="C7C8CA"/>
            </w:tcBorders>
            <w:vMerge w:val="continue"/>
          </w:tcPr>
          <w:p>
            <w:pPr>
              <w:spacing w:after="0"/>
              <w:rPr>
                <w:sz w:val="10"/>
                <w:szCs w:val="10"/>
                <w:color w:val="auto"/>
              </w:rPr>
            </w:pPr>
          </w:p>
        </w:tc>
        <w:tc>
          <w:tcPr>
            <w:tcW w:w="1460" w:type="dxa"/>
            <w:vAlign w:val="bottom"/>
            <w:tcBorders>
              <w:right w:val="single" w:sz="8" w:color="C7C8CA"/>
            </w:tcBorders>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40" w:type="dxa"/>
            <w:vAlign w:val="bottom"/>
            <w:tcBorders>
              <w:left w:val="single" w:sz="8" w:color="C7C8CA"/>
              <w:bottom w:val="single" w:sz="8" w:color="C7C8CA"/>
              <w:right w:val="single" w:sz="8" w:color="C7C8CA"/>
            </w:tcBorders>
          </w:tcPr>
          <w:p>
            <w:pPr>
              <w:spacing w:after="0"/>
              <w:rPr>
                <w:sz w:val="10"/>
                <w:szCs w:val="10"/>
                <w:color w:val="auto"/>
              </w:rPr>
            </w:pPr>
          </w:p>
        </w:tc>
        <w:tc>
          <w:tcPr>
            <w:tcW w:w="4640" w:type="dxa"/>
            <w:vAlign w:val="bottom"/>
            <w:tcBorders>
              <w:bottom w:val="single" w:sz="8" w:color="C7C8CA"/>
              <w:right w:val="single" w:sz="8" w:color="C7C8CA"/>
            </w:tcBorders>
          </w:tcPr>
          <w:p>
            <w:pPr>
              <w:spacing w:after="0"/>
              <w:rPr>
                <w:sz w:val="10"/>
                <w:szCs w:val="10"/>
                <w:color w:val="auto"/>
              </w:rPr>
            </w:pPr>
          </w:p>
        </w:tc>
        <w:tc>
          <w:tcPr>
            <w:tcW w:w="1520" w:type="dxa"/>
            <w:vAlign w:val="bottom"/>
            <w:tcBorders>
              <w:bottom w:val="single" w:sz="8" w:color="C7C8CA"/>
              <w:right w:val="single" w:sz="8" w:color="C7C8CA"/>
            </w:tcBorders>
            <w:vMerge w:val="continue"/>
          </w:tcPr>
          <w:p>
            <w:pPr>
              <w:spacing w:after="0"/>
              <w:rPr>
                <w:sz w:val="10"/>
                <w:szCs w:val="10"/>
                <w:color w:val="auto"/>
              </w:rPr>
            </w:pPr>
          </w:p>
        </w:tc>
        <w:tc>
          <w:tcPr>
            <w:tcW w:w="980" w:type="dxa"/>
            <w:vAlign w:val="bottom"/>
            <w:tcBorders>
              <w:bottom w:val="single" w:sz="8" w:color="C7C8CA"/>
              <w:right w:val="single" w:sz="8" w:color="C7C8CA"/>
            </w:tcBorders>
          </w:tcPr>
          <w:p>
            <w:pPr>
              <w:spacing w:after="0"/>
              <w:rPr>
                <w:sz w:val="10"/>
                <w:szCs w:val="10"/>
                <w:color w:val="auto"/>
              </w:rPr>
            </w:pPr>
          </w:p>
        </w:tc>
        <w:tc>
          <w:tcPr>
            <w:tcW w:w="1460" w:type="dxa"/>
            <w:vAlign w:val="bottom"/>
            <w:tcBorders>
              <w:bottom w:val="single" w:sz="8" w:color="C7C8CA"/>
              <w:right w:val="single" w:sz="8" w:color="C7C8CA"/>
            </w:tcBorders>
          </w:tcPr>
          <w:p>
            <w:pPr>
              <w:spacing w:after="0"/>
              <w:rPr>
                <w:sz w:val="10"/>
                <w:szCs w:val="10"/>
                <w:color w:val="auto"/>
              </w:rPr>
            </w:pPr>
          </w:p>
        </w:tc>
        <w:tc>
          <w:tcPr>
            <w:tcW w:w="1500" w:type="dxa"/>
            <w:vAlign w:val="bottom"/>
            <w:tcBorders>
              <w:bottom w:val="single" w:sz="8" w:color="C7C8CA"/>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140" w:type="dxa"/>
            <w:vAlign w:val="bottom"/>
            <w:tcBorders>
              <w:left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6.17</w:t>
            </w:r>
          </w:p>
        </w:tc>
        <w:tc>
          <w:tcPr>
            <w:tcW w:w="464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Biostatistical Project Management</w:t>
            </w:r>
          </w:p>
        </w:tc>
        <w:tc>
          <w:tcPr>
            <w:tcW w:w="152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Per month</w:t>
            </w:r>
          </w:p>
        </w:tc>
        <w:tc>
          <w:tcPr>
            <w:tcW w:w="98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146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$837.61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$2,513</w:t>
            </w:r>
          </w:p>
        </w:tc>
        <w:tc>
          <w:tcPr>
            <w:tcW w:w="0" w:type="dxa"/>
            <w:vAlign w:val="bottom"/>
          </w:tcPr>
          <w:p>
            <w:pPr>
              <w:spacing w:after="0"/>
              <w:rPr>
                <w:sz w:val="1"/>
                <w:szCs w:val="1"/>
                <w:color w:val="auto"/>
              </w:rPr>
            </w:pPr>
          </w:p>
        </w:tc>
      </w:tr>
      <w:tr>
        <w:trPr>
          <w:trHeight w:val="274"/>
        </w:trPr>
        <w:tc>
          <w:tcPr>
            <w:tcW w:w="1140" w:type="dxa"/>
            <w:vAlign w:val="bottom"/>
            <w:tcBorders>
              <w:left w:val="single" w:sz="8" w:color="C7C8CA"/>
              <w:right w:val="single" w:sz="8" w:color="15489E"/>
            </w:tcBorders>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7</w:t>
            </w:r>
          </w:p>
        </w:tc>
        <w:tc>
          <w:tcPr>
            <w:tcW w:w="4640" w:type="dxa"/>
            <w:vAlign w:val="bottom"/>
            <w:tcBorders>
              <w:right w:val="single" w:sz="8" w:color="C7C8CA"/>
            </w:tcBorders>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PHARMACOVIGILANCE</w:t>
            </w:r>
          </w:p>
        </w:tc>
        <w:tc>
          <w:tcPr>
            <w:tcW w:w="1520" w:type="dxa"/>
            <w:vAlign w:val="bottom"/>
            <w:tcBorders>
              <w:right w:val="single" w:sz="8" w:color="C7C8CA"/>
            </w:tcBorders>
            <w:shd w:val="clear" w:color="auto" w:fill="15489E"/>
          </w:tcPr>
          <w:p>
            <w:pPr>
              <w:spacing w:after="0"/>
              <w:rPr>
                <w:sz w:val="23"/>
                <w:szCs w:val="23"/>
                <w:color w:val="auto"/>
              </w:rPr>
            </w:pPr>
          </w:p>
        </w:tc>
        <w:tc>
          <w:tcPr>
            <w:tcW w:w="980" w:type="dxa"/>
            <w:vAlign w:val="bottom"/>
            <w:tcBorders>
              <w:right w:val="single" w:sz="8" w:color="C7C8CA"/>
            </w:tcBorders>
            <w:shd w:val="clear" w:color="auto" w:fill="15489E"/>
          </w:tcPr>
          <w:p>
            <w:pPr>
              <w:spacing w:after="0"/>
              <w:rPr>
                <w:sz w:val="23"/>
                <w:szCs w:val="23"/>
                <w:color w:val="auto"/>
              </w:rPr>
            </w:pPr>
          </w:p>
        </w:tc>
        <w:tc>
          <w:tcPr>
            <w:tcW w:w="1460" w:type="dxa"/>
            <w:vAlign w:val="bottom"/>
            <w:tcBorders>
              <w:right w:val="single" w:sz="8" w:color="C7C8CA"/>
            </w:tcBorders>
            <w:shd w:val="clear" w:color="auto" w:fill="15489E"/>
          </w:tcPr>
          <w:p>
            <w:pPr>
              <w:spacing w:after="0"/>
              <w:rPr>
                <w:sz w:val="23"/>
                <w:szCs w:val="23"/>
                <w:color w:val="auto"/>
              </w:rPr>
            </w:pPr>
          </w:p>
        </w:tc>
        <w:tc>
          <w:tcPr>
            <w:tcW w:w="1500" w:type="dxa"/>
            <w:vAlign w:val="bottom"/>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$16,418</w:t>
            </w:r>
          </w:p>
        </w:tc>
        <w:tc>
          <w:tcPr>
            <w:tcW w:w="0" w:type="dxa"/>
            <w:vAlign w:val="bottom"/>
          </w:tcPr>
          <w:p>
            <w:pPr>
              <w:spacing w:after="0"/>
              <w:rPr>
                <w:sz w:val="1"/>
                <w:szCs w:val="1"/>
                <w:color w:val="auto"/>
              </w:rPr>
            </w:pPr>
          </w:p>
        </w:tc>
      </w:tr>
      <w:tr>
        <w:trPr>
          <w:trHeight w:val="239"/>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7.01</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Pharmacovigilance Set-Up</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project</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$6,037.00</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$6,037</w:t>
            </w:r>
          </w:p>
        </w:tc>
        <w:tc>
          <w:tcPr>
            <w:tcW w:w="0" w:type="dxa"/>
            <w:vAlign w:val="bottom"/>
          </w:tcPr>
          <w:p>
            <w:pPr>
              <w:spacing w:after="0"/>
              <w:rPr>
                <w:sz w:val="1"/>
                <w:szCs w:val="1"/>
                <w:color w:val="auto"/>
              </w:rPr>
            </w:pPr>
          </w:p>
        </w:tc>
      </w:tr>
      <w:tr>
        <w:trPr>
          <w:trHeight w:val="237"/>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7.03</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Safety Database Set-up</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project</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1</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$2,236.00</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$2,236</w:t>
            </w:r>
          </w:p>
        </w:tc>
        <w:tc>
          <w:tcPr>
            <w:tcW w:w="0" w:type="dxa"/>
            <w:vAlign w:val="bottom"/>
          </w:tcPr>
          <w:p>
            <w:pPr>
              <w:spacing w:after="0"/>
              <w:rPr>
                <w:sz w:val="1"/>
                <w:szCs w:val="1"/>
                <w:color w:val="auto"/>
              </w:rPr>
            </w:pPr>
          </w:p>
        </w:tc>
      </w:tr>
      <w:tr>
        <w:trPr>
          <w:trHeight w:val="236"/>
        </w:trPr>
        <w:tc>
          <w:tcPr>
            <w:tcW w:w="1140" w:type="dxa"/>
            <w:vAlign w:val="bottom"/>
            <w:tcBorders>
              <w:left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7.19</w:t>
            </w:r>
          </w:p>
        </w:tc>
        <w:tc>
          <w:tcPr>
            <w:tcW w:w="4640" w:type="dxa"/>
            <w:vAlign w:val="bottom"/>
            <w:tcBorders>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Pharmacovigilance Lead</w:t>
            </w:r>
          </w:p>
        </w:tc>
        <w:tc>
          <w:tcPr>
            <w:tcW w:w="1520" w:type="dxa"/>
            <w:vAlign w:val="bottom"/>
            <w:tcBorders>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months</w:t>
            </w:r>
          </w:p>
        </w:tc>
        <w:tc>
          <w:tcPr>
            <w:tcW w:w="98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1460" w:type="dxa"/>
            <w:vAlign w:val="bottom"/>
            <w:tcBorders>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$2,715.00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$8,145</w:t>
            </w:r>
          </w:p>
        </w:tc>
        <w:tc>
          <w:tcPr>
            <w:tcW w:w="0" w:type="dxa"/>
            <w:vAlign w:val="bottom"/>
          </w:tcPr>
          <w:p>
            <w:pPr>
              <w:spacing w:after="0"/>
              <w:rPr>
                <w:sz w:val="1"/>
                <w:szCs w:val="1"/>
                <w:color w:val="auto"/>
              </w:rPr>
            </w:pPr>
          </w:p>
        </w:tc>
      </w:tr>
      <w:tr>
        <w:trPr>
          <w:trHeight w:val="274"/>
        </w:trPr>
        <w:tc>
          <w:tcPr>
            <w:tcW w:w="1140" w:type="dxa"/>
            <w:vAlign w:val="bottom"/>
            <w:tcBorders>
              <w:left w:val="single" w:sz="8" w:color="C7C8CA"/>
              <w:right w:val="single" w:sz="8" w:color="15489E"/>
            </w:tcBorders>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9</w:t>
            </w:r>
          </w:p>
        </w:tc>
        <w:tc>
          <w:tcPr>
            <w:tcW w:w="4640" w:type="dxa"/>
            <w:vAlign w:val="bottom"/>
            <w:tcBorders>
              <w:right w:val="single" w:sz="8" w:color="C7C8CA"/>
            </w:tcBorders>
            <w:shd w:val="clear" w:color="auto" w:fill="15489E"/>
          </w:tcPr>
          <w:p>
            <w:pPr>
              <w:ind w:left="40"/>
              <w:spacing w:after="0"/>
              <w:rPr>
                <w:sz w:val="20"/>
                <w:szCs w:val="20"/>
                <w:color w:val="auto"/>
              </w:rPr>
            </w:pPr>
            <w:r>
              <w:rPr>
                <w:rFonts w:ascii="Times New Roman" w:cs="Times New Roman" w:eastAsia="Times New Roman" w:hAnsi="Times New Roman"/>
                <w:sz w:val="18"/>
                <w:szCs w:val="18"/>
                <w:b w:val="1"/>
                <w:bCs w:val="1"/>
                <w:color w:val="FFFFFF"/>
              </w:rPr>
              <w:t>GRANT MANAGEMENT</w:t>
            </w:r>
          </w:p>
        </w:tc>
        <w:tc>
          <w:tcPr>
            <w:tcW w:w="1520" w:type="dxa"/>
            <w:vAlign w:val="bottom"/>
            <w:tcBorders>
              <w:right w:val="single" w:sz="8" w:color="C7C8CA"/>
            </w:tcBorders>
            <w:shd w:val="clear" w:color="auto" w:fill="15489E"/>
          </w:tcPr>
          <w:p>
            <w:pPr>
              <w:spacing w:after="0"/>
              <w:rPr>
                <w:sz w:val="23"/>
                <w:szCs w:val="23"/>
                <w:color w:val="auto"/>
              </w:rPr>
            </w:pPr>
          </w:p>
        </w:tc>
        <w:tc>
          <w:tcPr>
            <w:tcW w:w="980" w:type="dxa"/>
            <w:vAlign w:val="bottom"/>
            <w:tcBorders>
              <w:right w:val="single" w:sz="8" w:color="C7C8CA"/>
            </w:tcBorders>
            <w:shd w:val="clear" w:color="auto" w:fill="15489E"/>
          </w:tcPr>
          <w:p>
            <w:pPr>
              <w:spacing w:after="0"/>
              <w:rPr>
                <w:sz w:val="23"/>
                <w:szCs w:val="23"/>
                <w:color w:val="auto"/>
              </w:rPr>
            </w:pPr>
          </w:p>
        </w:tc>
        <w:tc>
          <w:tcPr>
            <w:tcW w:w="1460" w:type="dxa"/>
            <w:vAlign w:val="bottom"/>
            <w:tcBorders>
              <w:right w:val="single" w:sz="8" w:color="C7C8CA"/>
            </w:tcBorders>
            <w:shd w:val="clear" w:color="auto" w:fill="15489E"/>
          </w:tcPr>
          <w:p>
            <w:pPr>
              <w:spacing w:after="0"/>
              <w:rPr>
                <w:sz w:val="23"/>
                <w:szCs w:val="23"/>
                <w:color w:val="auto"/>
              </w:rPr>
            </w:pPr>
          </w:p>
        </w:tc>
        <w:tc>
          <w:tcPr>
            <w:tcW w:w="1500" w:type="dxa"/>
            <w:vAlign w:val="bottom"/>
            <w:shd w:val="clear" w:color="auto" w:fill="15489E"/>
          </w:tcPr>
          <w:p>
            <w:pPr>
              <w:jc w:val="center"/>
              <w:spacing w:after="0"/>
              <w:rPr>
                <w:sz w:val="20"/>
                <w:szCs w:val="20"/>
                <w:color w:val="auto"/>
              </w:rPr>
            </w:pPr>
            <w:r>
              <w:rPr>
                <w:rFonts w:ascii="Times New Roman" w:cs="Times New Roman" w:eastAsia="Times New Roman" w:hAnsi="Times New Roman"/>
                <w:sz w:val="18"/>
                <w:szCs w:val="18"/>
                <w:b w:val="1"/>
                <w:bCs w:val="1"/>
                <w:color w:val="FFFFFF"/>
              </w:rPr>
              <w:t>$8,100</w:t>
            </w:r>
          </w:p>
        </w:tc>
        <w:tc>
          <w:tcPr>
            <w:tcW w:w="0" w:type="dxa"/>
            <w:vAlign w:val="bottom"/>
          </w:tcPr>
          <w:p>
            <w:pPr>
              <w:spacing w:after="0"/>
              <w:rPr>
                <w:sz w:val="1"/>
                <w:szCs w:val="1"/>
                <w:color w:val="auto"/>
              </w:rPr>
            </w:pPr>
          </w:p>
        </w:tc>
      </w:tr>
      <w:tr>
        <w:trPr>
          <w:trHeight w:val="239"/>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9.01</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Payment Set Up per Site</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site</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2</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$1,500.00</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$3,000</w:t>
            </w:r>
          </w:p>
        </w:tc>
        <w:tc>
          <w:tcPr>
            <w:tcW w:w="0" w:type="dxa"/>
            <w:vAlign w:val="bottom"/>
          </w:tcPr>
          <w:p>
            <w:pPr>
              <w:spacing w:after="0"/>
              <w:rPr>
                <w:sz w:val="1"/>
                <w:szCs w:val="1"/>
                <w:color w:val="auto"/>
              </w:rPr>
            </w:pPr>
          </w:p>
        </w:tc>
      </w:tr>
      <w:tr>
        <w:trPr>
          <w:trHeight w:val="237"/>
        </w:trPr>
        <w:tc>
          <w:tcPr>
            <w:tcW w:w="1140" w:type="dxa"/>
            <w:vAlign w:val="bottom"/>
            <w:tcBorders>
              <w:left w:val="single" w:sz="8" w:color="C7C8CA"/>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5"/>
              </w:rPr>
              <w:t>9.02</w:t>
            </w:r>
          </w:p>
        </w:tc>
        <w:tc>
          <w:tcPr>
            <w:tcW w:w="4640" w:type="dxa"/>
            <w:vAlign w:val="bottom"/>
            <w:tcBorders>
              <w:bottom w:val="single" w:sz="8" w:color="C7C8CA"/>
              <w:right w:val="single" w:sz="8" w:color="C7C8CA"/>
            </w:tcBorders>
          </w:tcPr>
          <w:p>
            <w:pPr>
              <w:ind w:left="40"/>
              <w:spacing w:after="0"/>
              <w:rPr>
                <w:sz w:val="20"/>
                <w:szCs w:val="20"/>
                <w:color w:val="auto"/>
              </w:rPr>
            </w:pPr>
            <w:r>
              <w:rPr>
                <w:rFonts w:ascii="Times New Roman" w:cs="Times New Roman" w:eastAsia="Times New Roman" w:hAnsi="Times New Roman"/>
                <w:sz w:val="18"/>
                <w:szCs w:val="18"/>
                <w:color w:val="231F20"/>
              </w:rPr>
              <w:t>Payment Management &amp; Oversight</w:t>
            </w:r>
          </w:p>
        </w:tc>
        <w:tc>
          <w:tcPr>
            <w:tcW w:w="1520" w:type="dxa"/>
            <w:vAlign w:val="bottom"/>
            <w:tcBorders>
              <w:bottom w:val="single" w:sz="8" w:color="C7C8CA"/>
              <w:right w:val="single" w:sz="8" w:color="C7C8CA"/>
            </w:tcBorders>
          </w:tcPr>
          <w:p>
            <w:pPr>
              <w:ind w:left="20"/>
              <w:spacing w:after="0"/>
              <w:rPr>
                <w:sz w:val="20"/>
                <w:szCs w:val="20"/>
                <w:color w:val="auto"/>
              </w:rPr>
            </w:pPr>
            <w:r>
              <w:rPr>
                <w:rFonts w:ascii="Times New Roman" w:cs="Times New Roman" w:eastAsia="Times New Roman" w:hAnsi="Times New Roman"/>
                <w:sz w:val="18"/>
                <w:szCs w:val="18"/>
                <w:color w:val="231F20"/>
              </w:rPr>
              <w:t>month</w:t>
            </w:r>
          </w:p>
        </w:tc>
        <w:tc>
          <w:tcPr>
            <w:tcW w:w="98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1460" w:type="dxa"/>
            <w:vAlign w:val="bottom"/>
            <w:tcBorders>
              <w:bottom w:val="single" w:sz="8" w:color="C7C8CA"/>
              <w:right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w w:val="99"/>
              </w:rPr>
              <w:t>$1,700.00</w:t>
            </w:r>
          </w:p>
        </w:tc>
        <w:tc>
          <w:tcPr>
            <w:tcW w:w="1500" w:type="dxa"/>
            <w:vAlign w:val="bottom"/>
            <w:tcBorders>
              <w:bottom w:val="single" w:sz="8" w:color="C7C8CA"/>
            </w:tcBorders>
          </w:tcPr>
          <w:p>
            <w:pPr>
              <w:jc w:val="center"/>
              <w:spacing w:after="0"/>
              <w:rPr>
                <w:sz w:val="20"/>
                <w:szCs w:val="20"/>
                <w:color w:val="auto"/>
              </w:rPr>
            </w:pPr>
            <w:r>
              <w:rPr>
                <w:rFonts w:ascii="Times New Roman" w:cs="Times New Roman" w:eastAsia="Times New Roman" w:hAnsi="Times New Roman"/>
                <w:sz w:val="18"/>
                <w:szCs w:val="18"/>
                <w:color w:val="231F20"/>
              </w:rPr>
              <w:t>$5,100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-12065</wp:posOffset>
            </wp:positionV>
            <wp:extent cx="34290" cy="1879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34290" cy="1879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-12065</wp:posOffset>
            </wp:positionV>
            <wp:extent cx="34290" cy="1879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-12065</wp:posOffset>
            </wp:positionV>
            <wp:extent cx="33655" cy="1879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-12065</wp:posOffset>
            </wp:positionV>
            <wp:extent cx="34290" cy="1879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-12065</wp:posOffset>
            </wp:positionV>
            <wp:extent cx="34290" cy="1879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34290" cy="18796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3"/>
        </w:trPr>
        <w:tc>
          <w:tcPr>
            <w:tcW w:w="1120" w:type="dxa"/>
            <w:vAlign w:val="bottom"/>
            <w:tcBorders>
              <w:left w:val="single" w:sz="8" w:color="736D6E"/>
              <w:bottom w:val="single" w:sz="8" w:color="auto"/>
            </w:tcBorders>
            <w:shd w:val="clear" w:color="auto" w:fill="736D6E"/>
          </w:tcPr>
          <w:p>
            <w:pPr>
              <w:spacing w:after="0"/>
              <w:rPr>
                <w:sz w:val="19"/>
                <w:szCs w:val="19"/>
                <w:color w:val="auto"/>
              </w:rPr>
            </w:pPr>
          </w:p>
        </w:tc>
        <w:tc>
          <w:tcPr>
            <w:tcW w:w="8620" w:type="dxa"/>
            <w:vAlign w:val="bottom"/>
            <w:tcBorders>
              <w:bottom w:val="single" w:sz="8" w:color="auto"/>
              <w:right w:val="single" w:sz="8" w:color="736D6E"/>
            </w:tcBorders>
            <w:gridSpan w:val="3"/>
            <w:shd w:val="clear" w:color="auto" w:fill="736D6E"/>
          </w:tcPr>
          <w:p>
            <w:pPr>
              <w:jc w:val="right"/>
              <w:ind w:right="4040"/>
              <w:spacing w:after="0"/>
              <w:rPr>
                <w:sz w:val="20"/>
                <w:szCs w:val="20"/>
                <w:color w:val="auto"/>
              </w:rPr>
            </w:pPr>
            <w:r>
              <w:rPr>
                <w:rFonts w:ascii="Times New Roman" w:cs="Times New Roman" w:eastAsia="Times New Roman" w:hAnsi="Times New Roman"/>
                <w:sz w:val="18"/>
                <w:szCs w:val="18"/>
                <w:b w:val="1"/>
                <w:bCs w:val="1"/>
                <w:color w:val="FFFFFF"/>
              </w:rPr>
              <w:t>Total Direct Fees</w:t>
            </w:r>
          </w:p>
        </w:tc>
        <w:tc>
          <w:tcPr>
            <w:tcW w:w="1500" w:type="dxa"/>
            <w:vAlign w:val="bottom"/>
            <w:tcBorders>
              <w:bottom w:val="single" w:sz="8" w:color="auto"/>
              <w:right w:val="single" w:sz="8" w:color="auto"/>
            </w:tcBorders>
            <w:shd w:val="clear" w:color="auto" w:fill="736D6E"/>
          </w:tcPr>
          <w:p>
            <w:pPr>
              <w:jc w:val="center"/>
              <w:spacing w:after="0"/>
              <w:rPr>
                <w:sz w:val="20"/>
                <w:szCs w:val="20"/>
                <w:color w:val="auto"/>
              </w:rPr>
            </w:pPr>
            <w:r>
              <w:rPr>
                <w:rFonts w:ascii="Times New Roman" w:cs="Times New Roman" w:eastAsia="Times New Roman" w:hAnsi="Times New Roman"/>
                <w:sz w:val="18"/>
                <w:szCs w:val="18"/>
                <w:b w:val="1"/>
                <w:bCs w:val="1"/>
                <w:color w:val="FFFFFF"/>
              </w:rPr>
              <w:t>$673,991</w:t>
            </w:r>
          </w:p>
        </w:tc>
      </w:tr>
      <w:tr>
        <w:trPr>
          <w:trHeight w:val="205"/>
        </w:trPr>
        <w:tc>
          <w:tcPr>
            <w:tcW w:w="1120" w:type="dxa"/>
            <w:vAlign w:val="bottom"/>
            <w:tcBorders>
              <w:left w:val="single" w:sz="8" w:color="auto"/>
            </w:tcBorders>
            <w:shd w:val="clear" w:color="auto" w:fill="C7C8CA"/>
          </w:tcPr>
          <w:p>
            <w:pPr>
              <w:spacing w:after="0"/>
              <w:rPr>
                <w:sz w:val="17"/>
                <w:szCs w:val="17"/>
                <w:color w:val="auto"/>
              </w:rPr>
            </w:pPr>
          </w:p>
        </w:tc>
        <w:tc>
          <w:tcPr>
            <w:tcW w:w="8620" w:type="dxa"/>
            <w:vAlign w:val="bottom"/>
            <w:tcBorders>
              <w:right w:val="single" w:sz="8" w:color="C7C8CA"/>
            </w:tcBorders>
            <w:gridSpan w:val="3"/>
            <w:shd w:val="clear" w:color="auto" w:fill="C7C8CA"/>
          </w:tcPr>
          <w:p>
            <w:pPr>
              <w:jc w:val="right"/>
              <w:ind w:right="4100"/>
              <w:spacing w:after="0" w:line="205" w:lineRule="exact"/>
              <w:rPr>
                <w:sz w:val="20"/>
                <w:szCs w:val="20"/>
                <w:color w:val="auto"/>
              </w:rPr>
            </w:pPr>
            <w:r>
              <w:rPr>
                <w:rFonts w:ascii="Times New Roman" w:cs="Times New Roman" w:eastAsia="Times New Roman" w:hAnsi="Times New Roman"/>
                <w:sz w:val="18"/>
                <w:szCs w:val="18"/>
                <w:color w:val="231F20"/>
              </w:rPr>
              <w:t>Total Pass-Through and Medidata EDC</w:t>
            </w:r>
          </w:p>
        </w:tc>
        <w:tc>
          <w:tcPr>
            <w:tcW w:w="1500" w:type="dxa"/>
            <w:vAlign w:val="bottom"/>
            <w:tcBorders>
              <w:right w:val="single" w:sz="8" w:color="auto"/>
            </w:tcBorders>
            <w:shd w:val="clear" w:color="auto" w:fill="C7C8CA"/>
          </w:tcPr>
          <w:p>
            <w:pPr>
              <w:jc w:val="center"/>
              <w:spacing w:after="0" w:line="205" w:lineRule="exact"/>
              <w:rPr>
                <w:sz w:val="20"/>
                <w:szCs w:val="20"/>
                <w:color w:val="auto"/>
              </w:rPr>
            </w:pPr>
            <w:r>
              <w:rPr>
                <w:rFonts w:ascii="Times New Roman" w:cs="Times New Roman" w:eastAsia="Times New Roman" w:hAnsi="Times New Roman"/>
                <w:sz w:val="18"/>
                <w:szCs w:val="18"/>
                <w:color w:val="231F20"/>
              </w:rPr>
              <w:t>$110,844</w:t>
            </w:r>
          </w:p>
        </w:tc>
      </w:tr>
      <w:tr>
        <w:trPr>
          <w:trHeight w:val="241"/>
        </w:trPr>
        <w:tc>
          <w:tcPr>
            <w:tcW w:w="1120" w:type="dxa"/>
            <w:vAlign w:val="bottom"/>
            <w:tcBorders>
              <w:left w:val="single" w:sz="8" w:color="auto"/>
              <w:bottom w:val="single" w:sz="8" w:color="auto"/>
            </w:tcBorders>
            <w:shd w:val="clear" w:color="auto" w:fill="C7C8CA"/>
          </w:tcPr>
          <w:p>
            <w:pPr>
              <w:spacing w:after="0"/>
              <w:rPr>
                <w:sz w:val="20"/>
                <w:szCs w:val="20"/>
                <w:color w:val="auto"/>
              </w:rPr>
            </w:pPr>
          </w:p>
        </w:tc>
        <w:tc>
          <w:tcPr>
            <w:tcW w:w="8620" w:type="dxa"/>
            <w:vAlign w:val="bottom"/>
            <w:tcBorders>
              <w:bottom w:val="single" w:sz="8" w:color="auto"/>
              <w:right w:val="single" w:sz="8" w:color="C7C8CA"/>
            </w:tcBorders>
            <w:gridSpan w:val="3"/>
            <w:shd w:val="clear" w:color="auto" w:fill="C7C8CA"/>
          </w:tcPr>
          <w:p>
            <w:pPr>
              <w:jc w:val="right"/>
              <w:ind w:right="4100"/>
              <w:spacing w:after="0"/>
              <w:rPr>
                <w:sz w:val="20"/>
                <w:szCs w:val="20"/>
                <w:color w:val="auto"/>
              </w:rPr>
            </w:pPr>
            <w:r>
              <w:rPr>
                <w:rFonts w:ascii="Times New Roman" w:cs="Times New Roman" w:eastAsia="Times New Roman" w:hAnsi="Times New Roman"/>
                <w:sz w:val="18"/>
                <w:szCs w:val="18"/>
                <w:color w:val="231F20"/>
              </w:rPr>
              <w:t>Total Investigator Grants</w:t>
            </w:r>
          </w:p>
        </w:tc>
        <w:tc>
          <w:tcPr>
            <w:tcW w:w="1500" w:type="dxa"/>
            <w:vAlign w:val="bottom"/>
            <w:tcBorders>
              <w:bottom w:val="single" w:sz="8" w:color="auto"/>
              <w:right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8"/>
                <w:szCs w:val="18"/>
                <w:color w:val="231F20"/>
              </w:rPr>
              <w:t>$924,491</w:t>
            </w:r>
          </w:p>
        </w:tc>
      </w:tr>
      <w:tr>
        <w:trPr>
          <w:trHeight w:val="257"/>
        </w:trPr>
        <w:tc>
          <w:tcPr>
            <w:tcW w:w="1120" w:type="dxa"/>
            <w:vAlign w:val="bottom"/>
            <w:tcBorders>
              <w:left w:val="single" w:sz="8" w:color="C7C8CA"/>
            </w:tcBorders>
            <w:shd w:val="clear" w:color="auto" w:fill="736D6E"/>
          </w:tcPr>
          <w:p>
            <w:pPr>
              <w:spacing w:after="0"/>
              <w:rPr>
                <w:sz w:val="22"/>
                <w:szCs w:val="22"/>
                <w:color w:val="auto"/>
              </w:rPr>
            </w:pPr>
          </w:p>
        </w:tc>
        <w:tc>
          <w:tcPr>
            <w:tcW w:w="4660" w:type="dxa"/>
            <w:vAlign w:val="bottom"/>
            <w:tcBorders>
              <w:right w:val="single" w:sz="8" w:color="C7C8CA"/>
            </w:tcBorders>
            <w:shd w:val="clear" w:color="auto" w:fill="736D6E"/>
          </w:tcPr>
          <w:p>
            <w:pPr>
              <w:jc w:val="right"/>
              <w:spacing w:after="0"/>
              <w:rPr>
                <w:sz w:val="20"/>
                <w:szCs w:val="20"/>
                <w:color w:val="auto"/>
              </w:rPr>
            </w:pPr>
            <w:r>
              <w:rPr>
                <w:rFonts w:ascii="Times New Roman" w:cs="Times New Roman" w:eastAsia="Times New Roman" w:hAnsi="Times New Roman"/>
                <w:sz w:val="18"/>
                <w:szCs w:val="18"/>
                <w:b w:val="1"/>
                <w:bCs w:val="1"/>
                <w:color w:val="FFFFFF"/>
              </w:rPr>
              <w:t>Total Budget</w:t>
            </w:r>
          </w:p>
        </w:tc>
        <w:tc>
          <w:tcPr>
            <w:tcW w:w="2500" w:type="dxa"/>
            <w:vAlign w:val="bottom"/>
            <w:tcBorders>
              <w:right w:val="single" w:sz="8" w:color="C7C8CA"/>
            </w:tcBorders>
            <w:shd w:val="clear" w:color="auto" w:fill="736D6E"/>
          </w:tcPr>
          <w:p>
            <w:pPr>
              <w:spacing w:after="0"/>
              <w:rPr>
                <w:sz w:val="22"/>
                <w:szCs w:val="22"/>
                <w:color w:val="auto"/>
              </w:rPr>
            </w:pPr>
          </w:p>
        </w:tc>
        <w:tc>
          <w:tcPr>
            <w:tcW w:w="1460" w:type="dxa"/>
            <w:vAlign w:val="bottom"/>
            <w:tcBorders>
              <w:right w:val="single" w:sz="8" w:color="C7C8CA"/>
            </w:tcBorders>
            <w:shd w:val="clear" w:color="auto" w:fill="736D6E"/>
          </w:tcPr>
          <w:p>
            <w:pPr>
              <w:spacing w:after="0"/>
              <w:rPr>
                <w:sz w:val="22"/>
                <w:szCs w:val="22"/>
                <w:color w:val="auto"/>
              </w:rPr>
            </w:pPr>
          </w:p>
        </w:tc>
        <w:tc>
          <w:tcPr>
            <w:tcW w:w="1500" w:type="dxa"/>
            <w:vAlign w:val="bottom"/>
            <w:tcBorders>
              <w:right w:val="single" w:sz="8" w:color="736D6E"/>
            </w:tcBorders>
            <w:shd w:val="clear" w:color="auto" w:fill="736D6E"/>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$1,709,326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-175260</wp:posOffset>
            </wp:positionV>
            <wp:extent cx="963930" cy="1885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963930" cy="1885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*Additional Services may be rendered by agreement of the Parties.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Lefkofsky, certify that:</w:t>
      </w:r>
    </w:p>
    <w:p>
      <w:pPr>
        <w:spacing w:after="0" w:line="117"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Tempus AI,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13a-14(a)];</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2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Lefkofsky</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890270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6" w:name="page127"/>
    <w:bookmarkEnd w:id="12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Rogers, certify that:</w:t>
      </w:r>
    </w:p>
    <w:p>
      <w:pPr>
        <w:spacing w:after="0" w:line="117"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Tempus AI,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13a-14(a)];</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2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James Rogers</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890270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7" w:name="page128"/>
    <w:bookmarkEnd w:id="12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w:t>
      </w:r>
    </w:p>
    <w:p>
      <w:pPr>
        <w:spacing w:after="0" w:line="68" w:lineRule="exact"/>
        <w:rPr>
          <w:sz w:val="20"/>
          <w:szCs w:val="20"/>
          <w:color w:val="auto"/>
        </w:rPr>
      </w:pPr>
    </w:p>
    <w:p>
      <w:pPr>
        <w:ind w:left="520" w:hanging="512"/>
        <w:spacing w:after="0" w:line="282" w:lineRule="auto"/>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420" w:hanging="512"/>
        <w:spacing w:after="0" w:line="282" w:lineRule="auto"/>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4, 2024</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9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Lefkofsky</w:t>
            </w:r>
          </w:p>
        </w:tc>
        <w:tc>
          <w:tcPr>
            <w:tcW w:w="112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Rogers</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Lefkofsky</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James Rogers</w:t>
            </w: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12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3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8" w:name="page129"/>
    <w:bookmarkEnd w:id="1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2"/>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3"/>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decimal"/>
      <w:start w:val="4"/>
    </w:lvl>
  </w:abstractNum>
  <w:abstractNum w:abstractNumId="8">
    <w:nsid w:val="57E4CCAF"/>
    <w:multiLevelType w:val="hybridMultilevel"/>
    <w:lvl w:ilvl="0">
      <w:lvlJc w:val="left"/>
      <w:lvlText w:val="%1."/>
      <w:numFmt w:val="decimal"/>
      <w:start w:val="5"/>
    </w:lvl>
  </w:abstractNum>
  <w:abstractNum w:abstractNumId="9">
    <w:nsid w:val="7A6D8D3C"/>
    <w:multiLevelType w:val="hybridMultilevel"/>
    <w:lvl w:ilvl="0">
      <w:lvlJc w:val="left"/>
      <w:lvlText w:val="%1."/>
      <w:numFmt w:val="decimal"/>
      <w:start w:val="6"/>
    </w:lvl>
  </w:abstractNum>
  <w:abstractNum w:abstractNumId="10">
    <w:nsid w:val="4B588F54"/>
    <w:multiLevelType w:val="hybridMultilevel"/>
    <w:lvl w:ilvl="0">
      <w:lvlJc w:val="left"/>
      <w:lvlText w:val="%1."/>
      <w:numFmt w:val="decimal"/>
      <w:start w:val="7"/>
    </w:lvl>
  </w:abstractNum>
  <w:abstractNum w:abstractNumId="11">
    <w:nsid w:val="542289EC"/>
    <w:multiLevelType w:val="hybridMultilevel"/>
    <w:lvl w:ilvl="0">
      <w:lvlJc w:val="left"/>
      <w:lvlText w:val="%1."/>
      <w:numFmt w:val="decimal"/>
      <w:start w:val="8"/>
    </w:lvl>
  </w:abstractNum>
  <w:abstractNum w:abstractNumId="12">
    <w:nsid w:val="6DE91B18"/>
    <w:multiLevelType w:val="hybridMultilevel"/>
    <w:lvl w:ilvl="0">
      <w:lvlJc w:val="left"/>
      <w:lvlText w:val="%1."/>
      <w:numFmt w:val="decimal"/>
      <w:start w:val="9"/>
    </w:lvl>
  </w:abstractNum>
  <w:abstractNum w:abstractNumId="13">
    <w:nsid w:val="38437FDB"/>
    <w:multiLevelType w:val="hybridMultilevel"/>
    <w:lvl w:ilvl="0">
      <w:lvlJc w:val="left"/>
      <w:lvlText w:val="(%1)"/>
      <w:numFmt w:val="decimal"/>
      <w:start w:val="2"/>
    </w:lvl>
  </w:abstractNum>
  <w:abstractNum w:abstractNumId="14">
    <w:nsid w:val="7644A45C"/>
    <w:multiLevelType w:val="hybridMultilevel"/>
    <w:lvl w:ilvl="0">
      <w:lvlJc w:val="left"/>
      <w:lvlText w:val="%1."/>
      <w:numFmt w:val="decimal"/>
      <w:start w:val="10"/>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11"/>
    </w:lvl>
  </w:abstractNum>
  <w:abstractNum w:abstractNumId="17">
    <w:nsid w:val="579478FE"/>
    <w:multiLevelType w:val="hybridMultilevel"/>
    <w:lvl w:ilvl="0">
      <w:lvlJc w:val="left"/>
      <w:lvlText w:val="%1."/>
      <w:numFmt w:val="decimal"/>
      <w:start w:val="12"/>
    </w:lvl>
  </w:abstractNum>
  <w:abstractNum w:abstractNumId="18">
    <w:nsid w:val="749ABB43"/>
    <w:multiLevelType w:val="hybridMultilevel"/>
    <w:lvl w:ilvl="0">
      <w:lvlJc w:val="left"/>
      <w:lvlText w:val="(%1)"/>
      <w:numFmt w:val="lowerRoman"/>
      <w:start w:val="1"/>
    </w:lvl>
  </w:abstractNum>
  <w:abstractNum w:abstractNumId="19">
    <w:nsid w:val="3DC240FB"/>
    <w:multiLevelType w:val="hybridMultilevel"/>
    <w:lvl w:ilvl="0">
      <w:lvlJc w:val="left"/>
      <w:lvlText w:val="(%1)"/>
      <w:numFmt w:val="lowerRoman"/>
      <w:start w:val="3"/>
    </w:lvl>
  </w:abstractNum>
  <w:abstractNum w:abstractNumId="20">
    <w:nsid w:val="1BA026FA"/>
    <w:multiLevelType w:val="hybridMultilevel"/>
    <w:lvl w:ilvl="0">
      <w:lvlJc w:val="left"/>
      <w:lvlText w:val="%1."/>
      <w:numFmt w:val="decimal"/>
      <w:start w:val="13"/>
    </w:lvl>
  </w:abstractNum>
  <w:abstractNum w:abstractNumId="21">
    <w:nsid w:val="79A1DEAA"/>
    <w:multiLevelType w:val="hybridMultilevel"/>
    <w:lvl w:ilvl="0">
      <w:lvlJc w:val="left"/>
      <w:lvlText w:val="%1."/>
      <w:numFmt w:val="decimal"/>
      <w:start w:val="14"/>
    </w:lvl>
  </w:abstractNum>
  <w:abstractNum w:abstractNumId="22">
    <w:nsid w:val="75C6C33A"/>
    <w:multiLevelType w:val="hybridMultilevel"/>
    <w:lvl w:ilvl="0">
      <w:lvlJc w:val="left"/>
      <w:lvlText w:val="%1."/>
      <w:numFmt w:val="decimal"/>
      <w:start w:val="15"/>
    </w:lvl>
  </w:abstractNum>
  <w:abstractNum w:abstractNumId="23">
    <w:nsid w:val="12E685FB"/>
    <w:multiLevelType w:val="hybridMultilevel"/>
    <w:lvl w:ilvl="0">
      <w:lvlJc w:val="left"/>
      <w:lvlText w:val="%1."/>
      <w:numFmt w:val="decimal"/>
      <w:start w:val="16"/>
    </w:lvl>
  </w:abstractNum>
  <w:abstractNum w:abstractNumId="24">
    <w:nsid w:val="70C6A529"/>
    <w:multiLevelType w:val="hybridMultilevel"/>
    <w:lvl w:ilvl="0">
      <w:lvlJc w:val="left"/>
      <w:lvlText w:val="%1."/>
      <w:numFmt w:val="decimal"/>
      <w:start w:val="17"/>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lowerRoman"/>
      <w:start w:val="9"/>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endash "/>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amp;"/>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2"/>
    </w:lvl>
  </w:abstractNum>
  <w:abstractNum w:abstractNumId="70">
    <w:nsid w:val="613EFDC5"/>
    <w:multiLevelType w:val="hybridMultilevel"/>
    <w:lvl w:ilvl="0">
      <w:lvlJc w:val="left"/>
      <w:lvlText w:val="%1."/>
      <w:numFmt w:val="decimal"/>
      <w:start w:val="3"/>
    </w:lvl>
  </w:abstractNum>
  <w:abstractNum w:abstractNumId="71">
    <w:nsid w:val="BF72B14"/>
    <w:multiLevelType w:val="hybridMultilevel"/>
    <w:lvl w:ilvl="0">
      <w:lvlJc w:val="left"/>
      <w:lvlText w:val="%1."/>
      <w:numFmt w:val="decimal"/>
      <w:start w:val="4"/>
    </w:lvl>
  </w:abstractNum>
  <w:abstractNum w:abstractNumId="72">
    <w:nsid w:val="11447B73"/>
    <w:multiLevelType w:val="hybridMultilevel"/>
    <w:lvl w:ilvl="0">
      <w:lvlJc w:val="left"/>
      <w:lvlText w:val="%1."/>
      <w:numFmt w:val="decimal"/>
      <w:start w:val="5"/>
    </w:lvl>
  </w:abstractNum>
  <w:abstractNum w:abstractNumId="73">
    <w:nsid w:val="42963E5A"/>
    <w:multiLevelType w:val="hybridMultilevel"/>
    <w:lvl w:ilvl="0">
      <w:lvlJc w:val="left"/>
      <w:lvlText w:val="(%1)"/>
      <w:numFmt w:val="lowerRoman"/>
      <w:start w:val="3"/>
    </w:lvl>
  </w:abstractNum>
  <w:abstractNum w:abstractNumId="74">
    <w:nsid w:val="A0382C5"/>
    <w:multiLevelType w:val="hybridMultilevel"/>
    <w:lvl w:ilvl="0">
      <w:lvlJc w:val="left"/>
      <w:lvlText w:val="%1."/>
      <w:numFmt w:val="decimal"/>
      <w:start w:val="6"/>
    </w:lvl>
  </w:abstractNum>
  <w:abstractNum w:abstractNumId="75">
    <w:nsid w:val="8F2B15E"/>
    <w:multiLevelType w:val="hybridMultilevel"/>
    <w:lvl w:ilvl="0">
      <w:lvlJc w:val="left"/>
      <w:lvlText w:val="%1."/>
      <w:numFmt w:val="decimal"/>
      <w:start w:val="7"/>
    </w:lvl>
  </w:abstractNum>
  <w:abstractNum w:abstractNumId="76">
    <w:nsid w:val="1A32234B"/>
    <w:multiLevelType w:val="hybridMultilevel"/>
    <w:lvl w:ilvl="0">
      <w:lvlJc w:val="left"/>
      <w:lvlText w:val="%1."/>
      <w:numFmt w:val="decimal"/>
      <w:start w:val="8"/>
    </w:lvl>
  </w:abstractNum>
  <w:abstractNum w:abstractNumId="77">
    <w:nsid w:val="3B0FD379"/>
    <w:multiLevelType w:val="hybridMultilevel"/>
    <w:lvl w:ilvl="0">
      <w:lvlJc w:val="left"/>
      <w:lvlText w:val="%1."/>
      <w:numFmt w:val="decimal"/>
      <w:start w:val="9"/>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21" Type="http://schemas.openxmlformats.org/officeDocument/2006/relationships/hyperlink" Target="https://www.sec.gov/Archives/edgar/data/1717115/000119312524162594/d665789dex31.htm" TargetMode="External"/><Relationship Id="rId422" Type="http://schemas.openxmlformats.org/officeDocument/2006/relationships/hyperlink" Target="https://www.sec.gov/Archives/edgar/data/1717115/000119312524162594/d66578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2024-11-04T15:27:29Z</dcterms:created>
  <dcterms:modified xsi:type="dcterms:W3CDTF">2024-11-04T15:27:29Z</dcterms:modified>
</cp:coreProperties>
</file>